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532A" w14:textId="79490D94" w:rsidR="00842476" w:rsidRPr="00DB1F57" w:rsidRDefault="00680278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>M</w:t>
      </w:r>
      <w:r w:rsidR="00250161" w:rsidRPr="00DB1F57">
        <w:rPr>
          <w:rFonts w:ascii="Times New Roman" w:hAnsi="Times New Roman" w:cs="Times New Roman"/>
          <w:sz w:val="24"/>
          <w:szCs w:val="24"/>
        </w:rPr>
        <w:t>ajandus- ja kommunikatsioonim</w:t>
      </w:r>
      <w:r w:rsidRPr="00DB1F57">
        <w:rPr>
          <w:rFonts w:ascii="Times New Roman" w:hAnsi="Times New Roman" w:cs="Times New Roman"/>
          <w:sz w:val="24"/>
          <w:szCs w:val="24"/>
        </w:rPr>
        <w:t>inister</w:t>
      </w:r>
    </w:p>
    <w:p w14:paraId="1084C03C" w14:textId="77777777" w:rsidR="00680278" w:rsidRPr="00DB1F57" w:rsidRDefault="00680278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ED560" w14:textId="5264952D" w:rsidR="00680278" w:rsidRPr="00DB1F57" w:rsidRDefault="00B9347A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</w:r>
      <w:r w:rsidRPr="00DB1F57">
        <w:rPr>
          <w:rFonts w:ascii="Times New Roman" w:hAnsi="Times New Roman" w:cs="Times New Roman"/>
          <w:sz w:val="24"/>
          <w:szCs w:val="24"/>
        </w:rPr>
        <w:tab/>
        <w:t>1</w:t>
      </w:r>
      <w:r w:rsidR="00465EBF" w:rsidRPr="00DB1F57">
        <w:rPr>
          <w:rFonts w:ascii="Times New Roman" w:hAnsi="Times New Roman" w:cs="Times New Roman"/>
          <w:sz w:val="24"/>
          <w:szCs w:val="24"/>
        </w:rPr>
        <w:t>8</w:t>
      </w:r>
      <w:r w:rsidRPr="00DB1F57">
        <w:rPr>
          <w:rFonts w:ascii="Times New Roman" w:hAnsi="Times New Roman" w:cs="Times New Roman"/>
          <w:sz w:val="24"/>
          <w:szCs w:val="24"/>
        </w:rPr>
        <w:t>.12.2025</w:t>
      </w:r>
    </w:p>
    <w:p w14:paraId="45EB6C83" w14:textId="77777777" w:rsidR="00680278" w:rsidRDefault="00680278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048DE" w14:textId="77777777" w:rsidR="004F6C23" w:rsidRPr="00DB1F57" w:rsidRDefault="004F6C23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A92B0" w14:textId="091D3283" w:rsidR="00E86FAE" w:rsidRPr="00DB1F57" w:rsidRDefault="00680278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Arvamus võrdse kohtlemise seaduse muutmise ja sellega seonduvalt teiste seaduste muutmise seaduseelnõu kohta</w:t>
      </w:r>
    </w:p>
    <w:p w14:paraId="2CBF925D" w14:textId="77777777" w:rsidR="004F6C23" w:rsidRDefault="004F6C23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7BAFD" w14:textId="4B483900" w:rsidR="00E86FAE" w:rsidRDefault="00706489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 xml:space="preserve">ENUT toetab ja tervitab kõnealust seaduseelnõu ning leiab, et tegemist on </w:t>
      </w:r>
      <w:r w:rsidR="00207983">
        <w:rPr>
          <w:rFonts w:ascii="Times New Roman" w:hAnsi="Times New Roman" w:cs="Times New Roman"/>
          <w:sz w:val="24"/>
          <w:szCs w:val="24"/>
        </w:rPr>
        <w:t>vajaliku</w:t>
      </w:r>
      <w:r w:rsidR="004F719F"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="00114DD4">
        <w:rPr>
          <w:rFonts w:ascii="Times New Roman" w:hAnsi="Times New Roman" w:cs="Times New Roman"/>
          <w:sz w:val="24"/>
          <w:szCs w:val="24"/>
        </w:rPr>
        <w:t>edasiminekuga</w:t>
      </w:r>
      <w:r w:rsidR="004F719F" w:rsidRPr="00DB1F57">
        <w:rPr>
          <w:rFonts w:ascii="Times New Roman" w:hAnsi="Times New Roman" w:cs="Times New Roman"/>
          <w:sz w:val="24"/>
          <w:szCs w:val="24"/>
        </w:rPr>
        <w:t xml:space="preserve"> võrd</w:t>
      </w:r>
      <w:r w:rsidR="004B6BF7" w:rsidRPr="00DB1F57">
        <w:rPr>
          <w:rFonts w:ascii="Times New Roman" w:hAnsi="Times New Roman" w:cs="Times New Roman"/>
          <w:sz w:val="24"/>
          <w:szCs w:val="24"/>
        </w:rPr>
        <w:t xml:space="preserve">suse edendamist käsitlevates </w:t>
      </w:r>
      <w:r w:rsidR="00AD7BDD">
        <w:rPr>
          <w:rFonts w:ascii="Times New Roman" w:hAnsi="Times New Roman" w:cs="Times New Roman"/>
          <w:sz w:val="24"/>
          <w:szCs w:val="24"/>
        </w:rPr>
        <w:t xml:space="preserve">Eestis </w:t>
      </w:r>
      <w:r w:rsidR="004B6BF7" w:rsidRPr="00DB1F57">
        <w:rPr>
          <w:rFonts w:ascii="Times New Roman" w:hAnsi="Times New Roman" w:cs="Times New Roman"/>
          <w:sz w:val="24"/>
          <w:szCs w:val="24"/>
        </w:rPr>
        <w:t>õigusaktides</w:t>
      </w:r>
      <w:r w:rsidR="00400F28" w:rsidRPr="00DB1F57">
        <w:rPr>
          <w:rFonts w:ascii="Times New Roman" w:hAnsi="Times New Roman" w:cs="Times New Roman"/>
          <w:sz w:val="24"/>
          <w:szCs w:val="24"/>
        </w:rPr>
        <w:t>. Eelkõige</w:t>
      </w:r>
      <w:r w:rsidR="000F6F6B">
        <w:rPr>
          <w:rFonts w:ascii="Times New Roman" w:hAnsi="Times New Roman" w:cs="Times New Roman"/>
          <w:sz w:val="24"/>
          <w:szCs w:val="24"/>
        </w:rPr>
        <w:t xml:space="preserve"> tervitame</w:t>
      </w:r>
      <w:r w:rsidR="00400F28"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="00263D9F">
        <w:rPr>
          <w:rFonts w:ascii="Times New Roman" w:hAnsi="Times New Roman" w:cs="Times New Roman"/>
          <w:sz w:val="24"/>
          <w:szCs w:val="24"/>
        </w:rPr>
        <w:t xml:space="preserve">soolise võrdõiguslikkuse ja võrdse kohtlemise voliniku (edaspidi </w:t>
      </w:r>
      <w:r w:rsidR="00400F28" w:rsidRPr="00DB1F57">
        <w:rPr>
          <w:rFonts w:ascii="Times New Roman" w:hAnsi="Times New Roman" w:cs="Times New Roman"/>
          <w:sz w:val="24"/>
          <w:szCs w:val="24"/>
        </w:rPr>
        <w:t>võrdõigusvolinik</w:t>
      </w:r>
      <w:r w:rsidR="00EE0BF5">
        <w:rPr>
          <w:rFonts w:ascii="Times New Roman" w:hAnsi="Times New Roman" w:cs="Times New Roman"/>
          <w:sz w:val="24"/>
          <w:szCs w:val="24"/>
        </w:rPr>
        <w:t xml:space="preserve"> või volinik</w:t>
      </w:r>
      <w:r w:rsidR="00263D9F">
        <w:rPr>
          <w:rFonts w:ascii="Times New Roman" w:hAnsi="Times New Roman" w:cs="Times New Roman"/>
          <w:sz w:val="24"/>
          <w:szCs w:val="24"/>
        </w:rPr>
        <w:t>)</w:t>
      </w:r>
      <w:r w:rsidR="00400F28"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="00790208">
        <w:rPr>
          <w:rFonts w:ascii="Times New Roman" w:hAnsi="Times New Roman" w:cs="Times New Roman"/>
          <w:sz w:val="24"/>
          <w:szCs w:val="24"/>
        </w:rPr>
        <w:t xml:space="preserve">ülesannete ja </w:t>
      </w:r>
      <w:r w:rsidR="00BA200B" w:rsidRPr="00DB1F57">
        <w:rPr>
          <w:rFonts w:ascii="Times New Roman" w:hAnsi="Times New Roman" w:cs="Times New Roman"/>
          <w:sz w:val="24"/>
          <w:szCs w:val="24"/>
        </w:rPr>
        <w:t>sekkumisv</w:t>
      </w:r>
      <w:r w:rsidR="00B9347A" w:rsidRPr="00DB1F57">
        <w:rPr>
          <w:rFonts w:ascii="Times New Roman" w:hAnsi="Times New Roman" w:cs="Times New Roman"/>
          <w:sz w:val="24"/>
          <w:szCs w:val="24"/>
        </w:rPr>
        <w:t>ormi</w:t>
      </w:r>
      <w:r w:rsidR="00BA200B" w:rsidRPr="00DB1F57">
        <w:rPr>
          <w:rFonts w:ascii="Times New Roman" w:hAnsi="Times New Roman" w:cs="Times New Roman"/>
          <w:sz w:val="24"/>
          <w:szCs w:val="24"/>
        </w:rPr>
        <w:t xml:space="preserve">de </w:t>
      </w:r>
      <w:r w:rsidR="000F6F6B">
        <w:rPr>
          <w:rFonts w:ascii="Times New Roman" w:hAnsi="Times New Roman" w:cs="Times New Roman"/>
          <w:sz w:val="24"/>
          <w:szCs w:val="24"/>
        </w:rPr>
        <w:t xml:space="preserve">mitmekesistamist. </w:t>
      </w:r>
      <w:r w:rsidR="00790208">
        <w:rPr>
          <w:rFonts w:ascii="Times New Roman" w:hAnsi="Times New Roman" w:cs="Times New Roman"/>
          <w:sz w:val="24"/>
          <w:szCs w:val="24"/>
        </w:rPr>
        <w:t>D</w:t>
      </w:r>
      <w:r w:rsidR="000F6F6B">
        <w:rPr>
          <w:rFonts w:ascii="Times New Roman" w:hAnsi="Times New Roman" w:cs="Times New Roman"/>
          <w:sz w:val="24"/>
          <w:szCs w:val="24"/>
        </w:rPr>
        <w:t>iskrimineerimisohvri kohtus esindamise õiguse</w:t>
      </w:r>
      <w:r w:rsidR="00A370A3">
        <w:rPr>
          <w:rFonts w:ascii="Times New Roman" w:hAnsi="Times New Roman" w:cs="Times New Roman"/>
          <w:sz w:val="24"/>
          <w:szCs w:val="24"/>
        </w:rPr>
        <w:t xml:space="preserve"> andmist volinikule</w:t>
      </w:r>
      <w:r w:rsidR="000F6F6B">
        <w:rPr>
          <w:rFonts w:ascii="Times New Roman" w:hAnsi="Times New Roman" w:cs="Times New Roman"/>
          <w:sz w:val="24"/>
          <w:szCs w:val="24"/>
        </w:rPr>
        <w:t xml:space="preserve"> </w:t>
      </w:r>
      <w:r w:rsidR="00A370A3">
        <w:rPr>
          <w:rFonts w:ascii="Times New Roman" w:hAnsi="Times New Roman" w:cs="Times New Roman"/>
          <w:sz w:val="24"/>
          <w:szCs w:val="24"/>
        </w:rPr>
        <w:t xml:space="preserve">on </w:t>
      </w:r>
      <w:r w:rsidR="00263D9F">
        <w:rPr>
          <w:rFonts w:ascii="Times New Roman" w:hAnsi="Times New Roman" w:cs="Times New Roman"/>
          <w:sz w:val="24"/>
          <w:szCs w:val="24"/>
        </w:rPr>
        <w:t>võrdõiguslikkuse</w:t>
      </w:r>
      <w:r w:rsidR="000F6F6B">
        <w:rPr>
          <w:rFonts w:ascii="Times New Roman" w:hAnsi="Times New Roman" w:cs="Times New Roman"/>
          <w:sz w:val="24"/>
          <w:szCs w:val="24"/>
        </w:rPr>
        <w:t xml:space="preserve"> eest seisvad </w:t>
      </w:r>
      <w:r w:rsidR="00BA200B" w:rsidRPr="00DB1F57">
        <w:rPr>
          <w:rFonts w:ascii="Times New Roman" w:hAnsi="Times New Roman" w:cs="Times New Roman"/>
          <w:sz w:val="24"/>
          <w:szCs w:val="24"/>
        </w:rPr>
        <w:t>huvikaitseorganisatsioonid ooda</w:t>
      </w:r>
      <w:r w:rsidR="000F6F6B">
        <w:rPr>
          <w:rFonts w:ascii="Times New Roman" w:hAnsi="Times New Roman" w:cs="Times New Roman"/>
          <w:sz w:val="24"/>
          <w:szCs w:val="24"/>
        </w:rPr>
        <w:t>nud</w:t>
      </w:r>
      <w:r w:rsidR="00A370A3">
        <w:rPr>
          <w:rFonts w:ascii="Times New Roman" w:hAnsi="Times New Roman" w:cs="Times New Roman"/>
          <w:sz w:val="24"/>
          <w:szCs w:val="24"/>
        </w:rPr>
        <w:t xml:space="preserve"> </w:t>
      </w:r>
      <w:r w:rsidR="00A370A3" w:rsidRPr="00DB1F57">
        <w:rPr>
          <w:rFonts w:ascii="Times New Roman" w:hAnsi="Times New Roman" w:cs="Times New Roman"/>
          <w:sz w:val="24"/>
          <w:szCs w:val="24"/>
        </w:rPr>
        <w:t>kaua</w:t>
      </w:r>
      <w:r w:rsidR="00BA200B" w:rsidRPr="00DB1F57">
        <w:rPr>
          <w:rFonts w:ascii="Times New Roman" w:hAnsi="Times New Roman" w:cs="Times New Roman"/>
          <w:sz w:val="24"/>
          <w:szCs w:val="24"/>
        </w:rPr>
        <w:t xml:space="preserve">. </w:t>
      </w:r>
      <w:r w:rsidR="003B1A73" w:rsidRPr="00DB1F57">
        <w:rPr>
          <w:rFonts w:ascii="Times New Roman" w:hAnsi="Times New Roman" w:cs="Times New Roman"/>
          <w:sz w:val="24"/>
          <w:szCs w:val="24"/>
        </w:rPr>
        <w:t xml:space="preserve">Olukorras, kus Eestis on vähe kohtuasju, mis puudutavad SoVS-i ja VõrdKS-i </w:t>
      </w:r>
      <w:r w:rsidR="00EF5AA0">
        <w:rPr>
          <w:rFonts w:ascii="Times New Roman" w:hAnsi="Times New Roman" w:cs="Times New Roman"/>
          <w:sz w:val="24"/>
          <w:szCs w:val="24"/>
        </w:rPr>
        <w:t xml:space="preserve">tõlgendamist ja </w:t>
      </w:r>
      <w:r w:rsidR="003B1A73" w:rsidRPr="00DB1F57">
        <w:rPr>
          <w:rFonts w:ascii="Times New Roman" w:hAnsi="Times New Roman" w:cs="Times New Roman"/>
          <w:sz w:val="24"/>
          <w:szCs w:val="24"/>
        </w:rPr>
        <w:t>rakendamist</w:t>
      </w:r>
      <w:r w:rsidR="003B1A73" w:rsidRPr="00DB1F5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B1A73" w:rsidRPr="00DB1F57">
        <w:rPr>
          <w:rFonts w:ascii="Times New Roman" w:hAnsi="Times New Roman" w:cs="Times New Roman"/>
          <w:sz w:val="24"/>
          <w:szCs w:val="24"/>
        </w:rPr>
        <w:t>,</w:t>
      </w:r>
      <w:r w:rsidR="00D0030F" w:rsidRPr="00DB1F57">
        <w:rPr>
          <w:rFonts w:ascii="Times New Roman" w:hAnsi="Times New Roman" w:cs="Times New Roman"/>
          <w:sz w:val="24"/>
          <w:szCs w:val="24"/>
        </w:rPr>
        <w:t xml:space="preserve"> on hädavajalik, et võrdõigus</w:t>
      </w:r>
      <w:r w:rsidR="00EA02FE" w:rsidRPr="00DB1F57">
        <w:rPr>
          <w:rFonts w:ascii="Times New Roman" w:hAnsi="Times New Roman" w:cs="Times New Roman"/>
          <w:sz w:val="24"/>
          <w:szCs w:val="24"/>
        </w:rPr>
        <w:t xml:space="preserve">volinik võtab diskrimineerimise ohvrite abistamisel aktiivsema rolli kas </w:t>
      </w:r>
      <w:r w:rsidR="00EF5AA0">
        <w:rPr>
          <w:rFonts w:ascii="Times New Roman" w:hAnsi="Times New Roman" w:cs="Times New Roman"/>
          <w:sz w:val="24"/>
          <w:szCs w:val="24"/>
        </w:rPr>
        <w:t xml:space="preserve">ohvri </w:t>
      </w:r>
      <w:r w:rsidR="00EA02FE" w:rsidRPr="00DB1F57">
        <w:rPr>
          <w:rFonts w:ascii="Times New Roman" w:hAnsi="Times New Roman" w:cs="Times New Roman"/>
          <w:sz w:val="24"/>
          <w:szCs w:val="24"/>
        </w:rPr>
        <w:t>esindaja või nõustajana nagu näeb ette eelnõu</w:t>
      </w:r>
      <w:r w:rsidR="00B26139" w:rsidRPr="00DB1F57">
        <w:rPr>
          <w:rFonts w:ascii="Times New Roman" w:hAnsi="Times New Roman" w:cs="Times New Roman"/>
          <w:sz w:val="24"/>
          <w:szCs w:val="24"/>
        </w:rPr>
        <w:t xml:space="preserve"> §</w:t>
      </w:r>
      <w:r w:rsidR="00E00C5D">
        <w:rPr>
          <w:rFonts w:ascii="Times New Roman" w:hAnsi="Times New Roman" w:cs="Times New Roman"/>
          <w:sz w:val="24"/>
          <w:szCs w:val="24"/>
        </w:rPr>
        <w:t> </w:t>
      </w:r>
      <w:r w:rsidR="00CC2EF3">
        <w:rPr>
          <w:rFonts w:ascii="Times New Roman" w:hAnsi="Times New Roman" w:cs="Times New Roman"/>
          <w:sz w:val="24"/>
          <w:szCs w:val="24"/>
        </w:rPr>
        <w:t xml:space="preserve">1 punkt </w:t>
      </w:r>
      <w:r w:rsidR="00207489">
        <w:rPr>
          <w:rFonts w:ascii="Times New Roman" w:hAnsi="Times New Roman" w:cs="Times New Roman"/>
          <w:sz w:val="24"/>
          <w:szCs w:val="24"/>
        </w:rPr>
        <w:t>10</w:t>
      </w:r>
      <w:r w:rsidR="00B26139" w:rsidRPr="00DB1F57">
        <w:rPr>
          <w:rFonts w:ascii="Times New Roman" w:hAnsi="Times New Roman" w:cs="Times New Roman"/>
          <w:sz w:val="24"/>
          <w:szCs w:val="24"/>
        </w:rPr>
        <w:t>.</w:t>
      </w:r>
      <w:r w:rsidR="003B1A73" w:rsidRPr="00DB1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DD0D8" w14:textId="13B268AD" w:rsidR="001B2FB2" w:rsidRPr="00DB1F57" w:rsidRDefault="00C279B5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Väga vajalikud on ka muudatused, mille eesmärk on tagada võrdõigusvoliniku sõltumatus ning </w:t>
      </w:r>
      <w:r w:rsidR="00F16C9D">
        <w:rPr>
          <w:rFonts w:ascii="Times New Roman" w:hAnsi="Times New Roman" w:cs="Times New Roman"/>
          <w:sz w:val="24"/>
          <w:szCs w:val="24"/>
        </w:rPr>
        <w:t xml:space="preserve">see, et volinikuks </w:t>
      </w:r>
      <w:r w:rsidR="00C46F32">
        <w:rPr>
          <w:rFonts w:ascii="Times New Roman" w:hAnsi="Times New Roman" w:cs="Times New Roman"/>
          <w:sz w:val="24"/>
          <w:szCs w:val="24"/>
        </w:rPr>
        <w:t>nimetatakse valdkonna tunnustatud ekspert.</w:t>
      </w:r>
      <w:r w:rsidR="007C74EE">
        <w:rPr>
          <w:rFonts w:ascii="Times New Roman" w:hAnsi="Times New Roman" w:cs="Times New Roman"/>
          <w:sz w:val="24"/>
          <w:szCs w:val="24"/>
        </w:rPr>
        <w:t xml:space="preserve"> </w:t>
      </w:r>
      <w:r w:rsidR="00A014FB">
        <w:rPr>
          <w:rFonts w:ascii="Times New Roman" w:hAnsi="Times New Roman" w:cs="Times New Roman"/>
          <w:sz w:val="24"/>
          <w:szCs w:val="24"/>
        </w:rPr>
        <w:t>T</w:t>
      </w:r>
      <w:r w:rsidR="0026266F">
        <w:rPr>
          <w:rFonts w:ascii="Times New Roman" w:hAnsi="Times New Roman" w:cs="Times New Roman"/>
          <w:sz w:val="24"/>
          <w:szCs w:val="24"/>
        </w:rPr>
        <w:t>oetame</w:t>
      </w:r>
      <w:r w:rsidR="007C74EE">
        <w:rPr>
          <w:rFonts w:ascii="Times New Roman" w:hAnsi="Times New Roman" w:cs="Times New Roman"/>
          <w:sz w:val="24"/>
          <w:szCs w:val="24"/>
        </w:rPr>
        <w:t xml:space="preserve"> sätteid, mis kirjutavad voliniku kandidaadile ette kõrgemad erialased nõudmised ning </w:t>
      </w:r>
      <w:r w:rsidR="00267C1B">
        <w:rPr>
          <w:rFonts w:ascii="Times New Roman" w:hAnsi="Times New Roman" w:cs="Times New Roman"/>
          <w:sz w:val="24"/>
          <w:szCs w:val="24"/>
        </w:rPr>
        <w:t>annavad v</w:t>
      </w:r>
      <w:r w:rsidR="00C46F32" w:rsidRPr="00C46F32">
        <w:rPr>
          <w:rFonts w:ascii="Times New Roman" w:hAnsi="Times New Roman" w:cs="Times New Roman"/>
          <w:sz w:val="24"/>
          <w:szCs w:val="24"/>
        </w:rPr>
        <w:t xml:space="preserve">oliniku </w:t>
      </w:r>
      <w:r w:rsidR="00267C1B">
        <w:rPr>
          <w:rFonts w:ascii="Times New Roman" w:hAnsi="Times New Roman" w:cs="Times New Roman"/>
          <w:sz w:val="24"/>
          <w:szCs w:val="24"/>
        </w:rPr>
        <w:t xml:space="preserve">ametisse </w:t>
      </w:r>
      <w:r w:rsidR="00C46F32" w:rsidRPr="00C46F32">
        <w:rPr>
          <w:rFonts w:ascii="Times New Roman" w:hAnsi="Times New Roman" w:cs="Times New Roman"/>
          <w:sz w:val="24"/>
          <w:szCs w:val="24"/>
        </w:rPr>
        <w:t>nimeta</w:t>
      </w:r>
      <w:r w:rsidR="00267C1B">
        <w:rPr>
          <w:rFonts w:ascii="Times New Roman" w:hAnsi="Times New Roman" w:cs="Times New Roman"/>
          <w:sz w:val="24"/>
          <w:szCs w:val="24"/>
        </w:rPr>
        <w:t xml:space="preserve">mise </w:t>
      </w:r>
      <w:r w:rsidR="00DB1FB5">
        <w:rPr>
          <w:rFonts w:ascii="Times New Roman" w:hAnsi="Times New Roman" w:cs="Times New Roman"/>
          <w:sz w:val="24"/>
          <w:szCs w:val="24"/>
        </w:rPr>
        <w:t>õiguse</w:t>
      </w:r>
      <w:r w:rsidR="00267C1B">
        <w:rPr>
          <w:rFonts w:ascii="Times New Roman" w:hAnsi="Times New Roman" w:cs="Times New Roman"/>
          <w:sz w:val="24"/>
          <w:szCs w:val="24"/>
        </w:rPr>
        <w:t xml:space="preserve"> </w:t>
      </w:r>
      <w:r w:rsidR="00C46F32" w:rsidRPr="00C46F32">
        <w:rPr>
          <w:rFonts w:ascii="Times New Roman" w:hAnsi="Times New Roman" w:cs="Times New Roman"/>
          <w:sz w:val="24"/>
          <w:szCs w:val="24"/>
        </w:rPr>
        <w:t>Vabariigi Valitsus</w:t>
      </w:r>
      <w:r w:rsidR="00267C1B">
        <w:rPr>
          <w:rFonts w:ascii="Times New Roman" w:hAnsi="Times New Roman" w:cs="Times New Roman"/>
          <w:sz w:val="24"/>
          <w:szCs w:val="24"/>
        </w:rPr>
        <w:t xml:space="preserve">ele. </w:t>
      </w:r>
    </w:p>
    <w:p w14:paraId="117581A6" w14:textId="59BDDDB7" w:rsidR="00694A0E" w:rsidRPr="00DB1F57" w:rsidRDefault="00694A0E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 xml:space="preserve">Kauaoodatud lisandus VõrdKS-i on ka põimdiskrimineerimise </w:t>
      </w:r>
      <w:r w:rsidR="00A1595B" w:rsidRPr="00DB1F57">
        <w:rPr>
          <w:rFonts w:ascii="Times New Roman" w:hAnsi="Times New Roman" w:cs="Times New Roman"/>
          <w:sz w:val="24"/>
          <w:szCs w:val="24"/>
        </w:rPr>
        <w:t xml:space="preserve">mõiste, mis võtab arvesse inimese mitme karakteristiku ehk tunnusega seoses kogetud ebavõrdse kohtlemise kogemused, mis </w:t>
      </w:r>
      <w:r w:rsidR="00103484" w:rsidRPr="00DB1F57">
        <w:rPr>
          <w:rFonts w:ascii="Times New Roman" w:hAnsi="Times New Roman" w:cs="Times New Roman"/>
          <w:sz w:val="24"/>
          <w:szCs w:val="24"/>
        </w:rPr>
        <w:t xml:space="preserve">on teaduskirjanduses laialdaselt </w:t>
      </w:r>
      <w:r w:rsidR="00F6196D">
        <w:rPr>
          <w:rFonts w:ascii="Times New Roman" w:hAnsi="Times New Roman" w:cs="Times New Roman"/>
          <w:sz w:val="24"/>
          <w:szCs w:val="24"/>
        </w:rPr>
        <w:t>käsitletud</w:t>
      </w:r>
      <w:r w:rsidR="00103484" w:rsidRPr="00DB1F57">
        <w:rPr>
          <w:rFonts w:ascii="Times New Roman" w:hAnsi="Times New Roman" w:cs="Times New Roman"/>
          <w:sz w:val="24"/>
          <w:szCs w:val="24"/>
        </w:rPr>
        <w:t xml:space="preserve">, mida aga Eesti õigus seni </w:t>
      </w:r>
      <w:r w:rsidR="00393C69" w:rsidRPr="00DB1F57">
        <w:rPr>
          <w:rFonts w:ascii="Times New Roman" w:hAnsi="Times New Roman" w:cs="Times New Roman"/>
          <w:sz w:val="24"/>
          <w:szCs w:val="24"/>
        </w:rPr>
        <w:t>ei reguleerinud.</w:t>
      </w:r>
      <w:r w:rsidR="00A1595B" w:rsidRPr="00DB1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95A8E" w14:textId="29CB341F" w:rsidR="002D253B" w:rsidRPr="00DB1F57" w:rsidRDefault="002D253B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>Eelnõus</w:t>
      </w:r>
      <w:r w:rsidR="00F41056">
        <w:rPr>
          <w:rFonts w:ascii="Times New Roman" w:hAnsi="Times New Roman" w:cs="Times New Roman"/>
          <w:sz w:val="24"/>
          <w:szCs w:val="24"/>
        </w:rPr>
        <w:t>t</w:t>
      </w:r>
      <w:r w:rsidR="00123BB2">
        <w:rPr>
          <w:rFonts w:ascii="Times New Roman" w:hAnsi="Times New Roman" w:cs="Times New Roman"/>
          <w:sz w:val="24"/>
          <w:szCs w:val="24"/>
        </w:rPr>
        <w:t xml:space="preserve"> </w:t>
      </w:r>
      <w:r w:rsidR="00F41056">
        <w:rPr>
          <w:rFonts w:ascii="Times New Roman" w:hAnsi="Times New Roman" w:cs="Times New Roman"/>
          <w:sz w:val="24"/>
          <w:szCs w:val="24"/>
        </w:rPr>
        <w:t>loeme välja</w:t>
      </w:r>
      <w:r w:rsidR="00123BB2">
        <w:rPr>
          <w:rFonts w:ascii="Times New Roman" w:hAnsi="Times New Roman" w:cs="Times New Roman"/>
          <w:sz w:val="24"/>
          <w:szCs w:val="24"/>
        </w:rPr>
        <w:t xml:space="preserve"> </w:t>
      </w:r>
      <w:r w:rsidRPr="00DB1F57">
        <w:rPr>
          <w:rFonts w:ascii="Times New Roman" w:hAnsi="Times New Roman" w:cs="Times New Roman"/>
          <w:sz w:val="24"/>
          <w:szCs w:val="24"/>
        </w:rPr>
        <w:t>läbi</w:t>
      </w:r>
      <w:r w:rsidR="00123BB2">
        <w:rPr>
          <w:rFonts w:ascii="Times New Roman" w:hAnsi="Times New Roman" w:cs="Times New Roman"/>
          <w:sz w:val="24"/>
          <w:szCs w:val="24"/>
        </w:rPr>
        <w:t>va</w:t>
      </w:r>
      <w:r w:rsidRPr="00DB1F57">
        <w:rPr>
          <w:rFonts w:ascii="Times New Roman" w:hAnsi="Times New Roman" w:cs="Times New Roman"/>
          <w:sz w:val="24"/>
          <w:szCs w:val="24"/>
        </w:rPr>
        <w:t xml:space="preserve"> soov</w:t>
      </w:r>
      <w:r w:rsidR="00123BB2">
        <w:rPr>
          <w:rFonts w:ascii="Times New Roman" w:hAnsi="Times New Roman" w:cs="Times New Roman"/>
          <w:sz w:val="24"/>
          <w:szCs w:val="24"/>
        </w:rPr>
        <w:t>i</w:t>
      </w:r>
      <w:r w:rsidRPr="00DB1F57">
        <w:rPr>
          <w:rFonts w:ascii="Times New Roman" w:hAnsi="Times New Roman" w:cs="Times New Roman"/>
          <w:sz w:val="24"/>
          <w:szCs w:val="24"/>
        </w:rPr>
        <w:t>, et võrdõigusvolinik</w:t>
      </w:r>
      <w:r w:rsidR="00123BB2">
        <w:rPr>
          <w:rFonts w:ascii="Times New Roman" w:hAnsi="Times New Roman" w:cs="Times New Roman"/>
          <w:sz w:val="24"/>
          <w:szCs w:val="24"/>
        </w:rPr>
        <w:t>ul oleks rohkem ülesandeid ja õigusi ning et ta</w:t>
      </w:r>
      <w:r w:rsidRPr="00DB1F57">
        <w:rPr>
          <w:rFonts w:ascii="Times New Roman" w:hAnsi="Times New Roman" w:cs="Times New Roman"/>
          <w:sz w:val="24"/>
          <w:szCs w:val="24"/>
        </w:rPr>
        <w:t xml:space="preserve"> teeks rohkem</w:t>
      </w:r>
      <w:r w:rsidR="007F7119" w:rsidRPr="00DB1F57">
        <w:rPr>
          <w:rFonts w:ascii="Times New Roman" w:hAnsi="Times New Roman" w:cs="Times New Roman"/>
          <w:sz w:val="24"/>
          <w:szCs w:val="24"/>
        </w:rPr>
        <w:t xml:space="preserve"> kui seni</w:t>
      </w:r>
      <w:r w:rsidR="00123BB2">
        <w:rPr>
          <w:rFonts w:ascii="Times New Roman" w:hAnsi="Times New Roman" w:cs="Times New Roman"/>
          <w:sz w:val="24"/>
          <w:szCs w:val="24"/>
        </w:rPr>
        <w:t>. N</w:t>
      </w:r>
      <w:r w:rsidR="002B08C4">
        <w:rPr>
          <w:rFonts w:ascii="Times New Roman" w:hAnsi="Times New Roman" w:cs="Times New Roman"/>
          <w:sz w:val="24"/>
          <w:szCs w:val="24"/>
        </w:rPr>
        <w:t xml:space="preserve">äiteks </w:t>
      </w:r>
      <w:r w:rsidR="007F7119" w:rsidRPr="00DB1F57">
        <w:rPr>
          <w:rFonts w:ascii="Times New Roman" w:hAnsi="Times New Roman" w:cs="Times New Roman"/>
          <w:sz w:val="24"/>
          <w:szCs w:val="24"/>
        </w:rPr>
        <w:t xml:space="preserve">uus </w:t>
      </w:r>
      <w:r w:rsidR="002B08C4">
        <w:rPr>
          <w:rFonts w:ascii="Times New Roman" w:hAnsi="Times New Roman" w:cs="Times New Roman"/>
          <w:sz w:val="24"/>
          <w:szCs w:val="24"/>
        </w:rPr>
        <w:t xml:space="preserve">on see, et </w:t>
      </w:r>
      <w:r w:rsidR="00F41056">
        <w:rPr>
          <w:rFonts w:ascii="Times New Roman" w:hAnsi="Times New Roman" w:cs="Times New Roman"/>
          <w:sz w:val="24"/>
          <w:szCs w:val="24"/>
        </w:rPr>
        <w:t xml:space="preserve">volinik peab </w:t>
      </w:r>
      <w:r w:rsidR="007F7119" w:rsidRPr="00DB1F57">
        <w:rPr>
          <w:rFonts w:ascii="Times New Roman" w:hAnsi="Times New Roman" w:cs="Times New Roman"/>
          <w:sz w:val="24"/>
          <w:szCs w:val="24"/>
        </w:rPr>
        <w:t xml:space="preserve">iga </w:t>
      </w:r>
      <w:r w:rsidR="002B08C4">
        <w:rPr>
          <w:rFonts w:ascii="Times New Roman" w:hAnsi="Times New Roman" w:cs="Times New Roman"/>
          <w:sz w:val="24"/>
          <w:szCs w:val="24"/>
        </w:rPr>
        <w:t>nelja</w:t>
      </w:r>
      <w:r w:rsidR="007F7119" w:rsidRPr="00DB1F57">
        <w:rPr>
          <w:rFonts w:ascii="Times New Roman" w:hAnsi="Times New Roman" w:cs="Times New Roman"/>
          <w:sz w:val="24"/>
          <w:szCs w:val="24"/>
        </w:rPr>
        <w:t xml:space="preserve"> aasta kohta </w:t>
      </w:r>
      <w:r w:rsidR="00C549B4">
        <w:rPr>
          <w:rFonts w:ascii="Times New Roman" w:hAnsi="Times New Roman" w:cs="Times New Roman"/>
          <w:sz w:val="24"/>
          <w:szCs w:val="24"/>
        </w:rPr>
        <w:t xml:space="preserve">avaldama </w:t>
      </w:r>
      <w:r w:rsidR="00F41056" w:rsidRPr="00F41056">
        <w:rPr>
          <w:rFonts w:ascii="Times New Roman" w:hAnsi="Times New Roman" w:cs="Times New Roman"/>
          <w:sz w:val="24"/>
          <w:szCs w:val="24"/>
        </w:rPr>
        <w:t>aruande ja soovitused soolise võrdõiguslikkuse ja võrdse kohtlemise põhimõtte rakendamise ja struktuursete probleemide kohta</w:t>
      </w:r>
      <w:r w:rsidR="00C549B4">
        <w:rPr>
          <w:rFonts w:ascii="Times New Roman" w:hAnsi="Times New Roman" w:cs="Times New Roman"/>
          <w:sz w:val="24"/>
          <w:szCs w:val="24"/>
        </w:rPr>
        <w:t xml:space="preserve">. Uudne on ka see, et volinik peab koostama </w:t>
      </w:r>
      <w:r w:rsidR="00E57B02">
        <w:rPr>
          <w:rFonts w:ascii="Times New Roman" w:hAnsi="Times New Roman" w:cs="Times New Roman"/>
          <w:sz w:val="24"/>
          <w:szCs w:val="24"/>
        </w:rPr>
        <w:t>nelja-aastase tööprogrammi</w:t>
      </w:r>
      <w:r w:rsidR="00141B4B">
        <w:rPr>
          <w:rFonts w:ascii="Times New Roman" w:hAnsi="Times New Roman" w:cs="Times New Roman"/>
          <w:sz w:val="24"/>
          <w:szCs w:val="24"/>
        </w:rPr>
        <w:t xml:space="preserve"> ning tal on võimalus läbi viia siduva arvamusega lõppev menetlus</w:t>
      </w:r>
      <w:r w:rsidR="0080677E" w:rsidRPr="00DB1F57">
        <w:rPr>
          <w:rFonts w:ascii="Times New Roman" w:hAnsi="Times New Roman" w:cs="Times New Roman"/>
          <w:sz w:val="24"/>
          <w:szCs w:val="24"/>
        </w:rPr>
        <w:t xml:space="preserve">. </w:t>
      </w:r>
      <w:r w:rsidR="00E57B02">
        <w:rPr>
          <w:rFonts w:ascii="Times New Roman" w:hAnsi="Times New Roman" w:cs="Times New Roman"/>
          <w:sz w:val="24"/>
          <w:szCs w:val="24"/>
        </w:rPr>
        <w:t>Need lisandused VõrdKS-i on meie silmis vajalikud. Tunneme aga muret, kas v</w:t>
      </w:r>
      <w:r w:rsidR="0080677E" w:rsidRPr="00DB1F57">
        <w:rPr>
          <w:rFonts w:ascii="Times New Roman" w:hAnsi="Times New Roman" w:cs="Times New Roman"/>
          <w:sz w:val="24"/>
          <w:szCs w:val="24"/>
        </w:rPr>
        <w:t xml:space="preserve">oliniku ülesandeid laiendades ja talle esitatud nõudmisi </w:t>
      </w:r>
      <w:r w:rsidR="00E57B02">
        <w:rPr>
          <w:rFonts w:ascii="Times New Roman" w:hAnsi="Times New Roman" w:cs="Times New Roman"/>
          <w:sz w:val="24"/>
          <w:szCs w:val="24"/>
        </w:rPr>
        <w:t>tõstes</w:t>
      </w:r>
      <w:r w:rsidR="00C923D1" w:rsidRPr="00DB1F57">
        <w:rPr>
          <w:rFonts w:ascii="Times New Roman" w:hAnsi="Times New Roman" w:cs="Times New Roman"/>
          <w:sz w:val="24"/>
          <w:szCs w:val="24"/>
        </w:rPr>
        <w:t xml:space="preserve"> lisandu</w:t>
      </w:r>
      <w:r w:rsidR="001520E1">
        <w:rPr>
          <w:rFonts w:ascii="Times New Roman" w:hAnsi="Times New Roman" w:cs="Times New Roman"/>
          <w:sz w:val="24"/>
          <w:szCs w:val="24"/>
        </w:rPr>
        <w:t>b</w:t>
      </w:r>
      <w:r w:rsidR="00C923D1"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="00B9139A">
        <w:rPr>
          <w:rFonts w:ascii="Times New Roman" w:hAnsi="Times New Roman" w:cs="Times New Roman"/>
          <w:sz w:val="24"/>
          <w:szCs w:val="24"/>
        </w:rPr>
        <w:t xml:space="preserve">ikka </w:t>
      </w:r>
      <w:r w:rsidR="00C923D1" w:rsidRPr="00DB1F57">
        <w:rPr>
          <w:rFonts w:ascii="Times New Roman" w:hAnsi="Times New Roman" w:cs="Times New Roman"/>
          <w:sz w:val="24"/>
          <w:szCs w:val="24"/>
        </w:rPr>
        <w:t>voliniku kantselei eelarvesse</w:t>
      </w:r>
      <w:r w:rsidR="003352AC">
        <w:rPr>
          <w:rFonts w:ascii="Times New Roman" w:hAnsi="Times New Roman" w:cs="Times New Roman"/>
          <w:sz w:val="24"/>
          <w:szCs w:val="24"/>
        </w:rPr>
        <w:t xml:space="preserve"> vajalik </w:t>
      </w:r>
      <w:r w:rsidR="001520E1">
        <w:rPr>
          <w:rFonts w:ascii="Times New Roman" w:hAnsi="Times New Roman" w:cs="Times New Roman"/>
          <w:sz w:val="24"/>
          <w:szCs w:val="24"/>
        </w:rPr>
        <w:t xml:space="preserve">rahaline </w:t>
      </w:r>
      <w:r w:rsidR="003352AC">
        <w:rPr>
          <w:rFonts w:ascii="Times New Roman" w:hAnsi="Times New Roman" w:cs="Times New Roman"/>
          <w:sz w:val="24"/>
          <w:szCs w:val="24"/>
        </w:rPr>
        <w:t>ressurs</w:t>
      </w:r>
      <w:r w:rsidR="001520E1">
        <w:rPr>
          <w:rFonts w:ascii="Times New Roman" w:hAnsi="Times New Roman" w:cs="Times New Roman"/>
          <w:sz w:val="24"/>
          <w:szCs w:val="24"/>
        </w:rPr>
        <w:t>s</w:t>
      </w:r>
      <w:r w:rsidR="00C923D1" w:rsidRPr="00DB1F57">
        <w:rPr>
          <w:rFonts w:ascii="Times New Roman" w:hAnsi="Times New Roman" w:cs="Times New Roman"/>
          <w:sz w:val="24"/>
          <w:szCs w:val="24"/>
        </w:rPr>
        <w:t>. Alates voliniku institutsiooni loomisest aastal 2005 on asutus vaevelnud alarahastuse käes</w:t>
      </w:r>
      <w:r w:rsidR="003352AC">
        <w:rPr>
          <w:rFonts w:ascii="Times New Roman" w:hAnsi="Times New Roman" w:cs="Times New Roman"/>
          <w:sz w:val="24"/>
          <w:szCs w:val="24"/>
        </w:rPr>
        <w:t xml:space="preserve">. Sellele probleemile, mis </w:t>
      </w:r>
      <w:r w:rsidR="0081137D">
        <w:rPr>
          <w:rFonts w:ascii="Times New Roman" w:hAnsi="Times New Roman" w:cs="Times New Roman"/>
          <w:sz w:val="24"/>
          <w:szCs w:val="24"/>
        </w:rPr>
        <w:t xml:space="preserve">mõjutab nii voliniku kantselei töö efektiivsust kui ka sõltumatust, </w:t>
      </w:r>
      <w:r w:rsidR="00C923D1" w:rsidRPr="00DB1F57">
        <w:rPr>
          <w:rFonts w:ascii="Times New Roman" w:hAnsi="Times New Roman" w:cs="Times New Roman"/>
          <w:sz w:val="24"/>
          <w:szCs w:val="24"/>
        </w:rPr>
        <w:t xml:space="preserve">on osutanud </w:t>
      </w:r>
      <w:r w:rsidR="0081137D">
        <w:rPr>
          <w:rFonts w:ascii="Times New Roman" w:hAnsi="Times New Roman" w:cs="Times New Roman"/>
          <w:sz w:val="24"/>
          <w:szCs w:val="24"/>
        </w:rPr>
        <w:t xml:space="preserve">läbi aastate </w:t>
      </w:r>
      <w:r w:rsidR="00C923D1" w:rsidRPr="00DB1F57">
        <w:rPr>
          <w:rFonts w:ascii="Times New Roman" w:hAnsi="Times New Roman" w:cs="Times New Roman"/>
          <w:sz w:val="24"/>
          <w:szCs w:val="24"/>
        </w:rPr>
        <w:t xml:space="preserve">mitmed </w:t>
      </w:r>
      <w:r w:rsidR="005C5F5F">
        <w:rPr>
          <w:rFonts w:ascii="Times New Roman" w:hAnsi="Times New Roman" w:cs="Times New Roman"/>
          <w:sz w:val="24"/>
          <w:szCs w:val="24"/>
        </w:rPr>
        <w:t>Eesti huvikaitseorganisatsioonid</w:t>
      </w:r>
      <w:r w:rsidR="005C5F5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5C5F5F">
        <w:rPr>
          <w:rFonts w:ascii="Times New Roman" w:hAnsi="Times New Roman" w:cs="Times New Roman"/>
          <w:sz w:val="24"/>
          <w:szCs w:val="24"/>
        </w:rPr>
        <w:t xml:space="preserve"> ja rahvusvahelised </w:t>
      </w:r>
      <w:r w:rsidR="00C923D1" w:rsidRPr="00DB1F57">
        <w:rPr>
          <w:rFonts w:ascii="Times New Roman" w:hAnsi="Times New Roman" w:cs="Times New Roman"/>
          <w:sz w:val="24"/>
          <w:szCs w:val="24"/>
        </w:rPr>
        <w:t>inimõigusorganisatsioonid</w:t>
      </w:r>
      <w:r w:rsidR="006857D5">
        <w:rPr>
          <w:rFonts w:ascii="Times New Roman" w:hAnsi="Times New Roman" w:cs="Times New Roman"/>
          <w:sz w:val="24"/>
          <w:szCs w:val="24"/>
        </w:rPr>
        <w:t xml:space="preserve">, nagu </w:t>
      </w:r>
      <w:r w:rsidR="007D77A3">
        <w:rPr>
          <w:rFonts w:ascii="Times New Roman" w:hAnsi="Times New Roman" w:cs="Times New Roman"/>
          <w:sz w:val="24"/>
          <w:szCs w:val="24"/>
        </w:rPr>
        <w:t xml:space="preserve">CEDAW </w:t>
      </w:r>
      <w:r w:rsidR="007D77A3">
        <w:rPr>
          <w:rFonts w:ascii="Times New Roman" w:hAnsi="Times New Roman" w:cs="Times New Roman"/>
          <w:sz w:val="24"/>
          <w:szCs w:val="24"/>
        </w:rPr>
        <w:lastRenderedPageBreak/>
        <w:t>komitee</w:t>
      </w:r>
      <w:r w:rsidR="007D77A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D77A3">
        <w:rPr>
          <w:rFonts w:ascii="Times New Roman" w:hAnsi="Times New Roman" w:cs="Times New Roman"/>
          <w:sz w:val="24"/>
          <w:szCs w:val="24"/>
        </w:rPr>
        <w:t xml:space="preserve">, </w:t>
      </w:r>
      <w:r w:rsidR="006857D5">
        <w:rPr>
          <w:rFonts w:ascii="Times New Roman" w:hAnsi="Times New Roman" w:cs="Times New Roman"/>
          <w:sz w:val="24"/>
          <w:szCs w:val="24"/>
        </w:rPr>
        <w:t>ECRI</w:t>
      </w:r>
      <w:r w:rsidR="006857D5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6857D5">
        <w:rPr>
          <w:rFonts w:ascii="Times New Roman" w:hAnsi="Times New Roman" w:cs="Times New Roman"/>
          <w:sz w:val="24"/>
          <w:szCs w:val="24"/>
        </w:rPr>
        <w:t xml:space="preserve"> ja </w:t>
      </w:r>
      <w:r w:rsidR="005957C3">
        <w:rPr>
          <w:rFonts w:ascii="Times New Roman" w:hAnsi="Times New Roman" w:cs="Times New Roman"/>
          <w:sz w:val="24"/>
          <w:szCs w:val="24"/>
        </w:rPr>
        <w:t>Euroopa Nõukogu</w:t>
      </w:r>
      <w:r w:rsidR="00092853">
        <w:rPr>
          <w:rFonts w:ascii="Times New Roman" w:hAnsi="Times New Roman" w:cs="Times New Roman"/>
          <w:sz w:val="24"/>
          <w:szCs w:val="24"/>
        </w:rPr>
        <w:t xml:space="preserve"> inimõiguste volinik</w:t>
      </w:r>
      <w:r w:rsidR="0009285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C923D1" w:rsidRPr="00DB1F57">
        <w:rPr>
          <w:rFonts w:ascii="Times New Roman" w:hAnsi="Times New Roman" w:cs="Times New Roman"/>
          <w:sz w:val="24"/>
          <w:szCs w:val="24"/>
        </w:rPr>
        <w:t>.</w:t>
      </w:r>
      <w:r w:rsidR="00B25798">
        <w:rPr>
          <w:rFonts w:ascii="Times New Roman" w:hAnsi="Times New Roman" w:cs="Times New Roman"/>
          <w:sz w:val="24"/>
          <w:szCs w:val="24"/>
        </w:rPr>
        <w:t xml:space="preserve"> </w:t>
      </w:r>
      <w:r w:rsidR="002711BB">
        <w:rPr>
          <w:rFonts w:ascii="Times New Roman" w:hAnsi="Times New Roman" w:cs="Times New Roman"/>
          <w:sz w:val="24"/>
          <w:szCs w:val="24"/>
        </w:rPr>
        <w:t>Eelnõuga Eesti õigusesse ü</w:t>
      </w:r>
      <w:r w:rsidR="00B25798">
        <w:rPr>
          <w:rFonts w:ascii="Times New Roman" w:hAnsi="Times New Roman" w:cs="Times New Roman"/>
          <w:sz w:val="24"/>
          <w:szCs w:val="24"/>
        </w:rPr>
        <w:t>levõetava</w:t>
      </w:r>
      <w:r w:rsidR="002711BB">
        <w:rPr>
          <w:rFonts w:ascii="Times New Roman" w:hAnsi="Times New Roman" w:cs="Times New Roman"/>
          <w:sz w:val="24"/>
          <w:szCs w:val="24"/>
        </w:rPr>
        <w:t>te</w:t>
      </w:r>
      <w:r w:rsidR="00B25798">
        <w:rPr>
          <w:rFonts w:ascii="Times New Roman" w:hAnsi="Times New Roman" w:cs="Times New Roman"/>
          <w:sz w:val="24"/>
          <w:szCs w:val="24"/>
        </w:rPr>
        <w:t xml:space="preserve"> direktiivide üks olulistest eesmärkidest on </w:t>
      </w:r>
      <w:r w:rsidR="00315C42">
        <w:rPr>
          <w:rFonts w:ascii="Times New Roman" w:hAnsi="Times New Roman" w:cs="Times New Roman"/>
          <w:sz w:val="24"/>
          <w:szCs w:val="24"/>
        </w:rPr>
        <w:t xml:space="preserve">tagada võrdõigusasutuste sõltumatus ning tegevuseks vajalikud ressursid (vt direktiivi </w:t>
      </w:r>
      <w:r w:rsidR="00315C42" w:rsidRPr="00315C42">
        <w:rPr>
          <w:rFonts w:ascii="Times New Roman" w:hAnsi="Times New Roman" w:cs="Times New Roman"/>
          <w:sz w:val="24"/>
          <w:szCs w:val="24"/>
        </w:rPr>
        <w:t>2024/1499</w:t>
      </w:r>
      <w:r w:rsidR="00315C42">
        <w:rPr>
          <w:rFonts w:ascii="Times New Roman" w:hAnsi="Times New Roman" w:cs="Times New Roman"/>
          <w:sz w:val="24"/>
          <w:szCs w:val="24"/>
        </w:rPr>
        <w:t xml:space="preserve"> artikkel 4</w:t>
      </w:r>
      <w:r w:rsidR="00C64EC1">
        <w:rPr>
          <w:rFonts w:ascii="Times New Roman" w:hAnsi="Times New Roman" w:cs="Times New Roman"/>
          <w:sz w:val="24"/>
          <w:szCs w:val="24"/>
        </w:rPr>
        <w:t xml:space="preserve"> ja direktiivi 2024/</w:t>
      </w:r>
      <w:r w:rsidR="007928A6">
        <w:rPr>
          <w:rFonts w:ascii="Times New Roman" w:hAnsi="Times New Roman" w:cs="Times New Roman"/>
          <w:sz w:val="24"/>
          <w:szCs w:val="24"/>
        </w:rPr>
        <w:t>1500 artikkel 4</w:t>
      </w:r>
      <w:r w:rsidR="00315C42">
        <w:rPr>
          <w:rFonts w:ascii="Times New Roman" w:hAnsi="Times New Roman" w:cs="Times New Roman"/>
          <w:sz w:val="24"/>
          <w:szCs w:val="24"/>
        </w:rPr>
        <w:t>)</w:t>
      </w:r>
      <w:r w:rsidR="002711BB">
        <w:rPr>
          <w:rFonts w:ascii="Times New Roman" w:hAnsi="Times New Roman" w:cs="Times New Roman"/>
          <w:sz w:val="24"/>
          <w:szCs w:val="24"/>
        </w:rPr>
        <w:t xml:space="preserve">. </w:t>
      </w:r>
      <w:r w:rsidR="00153953">
        <w:rPr>
          <w:rFonts w:ascii="Times New Roman" w:hAnsi="Times New Roman" w:cs="Times New Roman"/>
          <w:sz w:val="24"/>
          <w:szCs w:val="24"/>
        </w:rPr>
        <w:t xml:space="preserve">Oleks kahetsusväärne, kui Eesti puhul tähendaks direktiivide ülevõtmine </w:t>
      </w:r>
      <w:r w:rsidR="00C622F7">
        <w:rPr>
          <w:rFonts w:ascii="Times New Roman" w:hAnsi="Times New Roman" w:cs="Times New Roman"/>
          <w:sz w:val="24"/>
          <w:szCs w:val="24"/>
        </w:rPr>
        <w:t>võrdõigus</w:t>
      </w:r>
      <w:r w:rsidR="00153953">
        <w:rPr>
          <w:rFonts w:ascii="Times New Roman" w:hAnsi="Times New Roman" w:cs="Times New Roman"/>
          <w:sz w:val="24"/>
          <w:szCs w:val="24"/>
        </w:rPr>
        <w:t>volinikule lisaülesandeid ning veelgi</w:t>
      </w:r>
      <w:r w:rsidR="00D147C4">
        <w:rPr>
          <w:rFonts w:ascii="Times New Roman" w:hAnsi="Times New Roman" w:cs="Times New Roman"/>
          <w:sz w:val="24"/>
          <w:szCs w:val="24"/>
        </w:rPr>
        <w:t xml:space="preserve"> suuremat ressursikitsikust</w:t>
      </w:r>
      <w:r w:rsidR="00C622F7">
        <w:rPr>
          <w:rFonts w:ascii="Times New Roman" w:hAnsi="Times New Roman" w:cs="Times New Roman"/>
          <w:sz w:val="24"/>
          <w:szCs w:val="24"/>
        </w:rPr>
        <w:t>.</w:t>
      </w:r>
      <w:r w:rsidR="00315C42" w:rsidRPr="00315C42">
        <w:rPr>
          <w:rFonts w:ascii="Times New Roman" w:hAnsi="Times New Roman" w:cs="Times New Roman"/>
          <w:sz w:val="24"/>
          <w:szCs w:val="24"/>
        </w:rPr>
        <w:t xml:space="preserve"> </w:t>
      </w:r>
      <w:r w:rsidR="00315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7880B" w14:textId="4542DEB2" w:rsidR="00EF00CD" w:rsidRDefault="00FC5B9E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 xml:space="preserve">Eelnõu seletuskiri </w:t>
      </w:r>
      <w:r w:rsidR="00894BDF">
        <w:rPr>
          <w:rFonts w:ascii="Times New Roman" w:hAnsi="Times New Roman" w:cs="Times New Roman"/>
          <w:sz w:val="24"/>
          <w:szCs w:val="24"/>
        </w:rPr>
        <w:t>sedastab</w:t>
      </w:r>
      <w:r w:rsidRPr="00DB1F57">
        <w:rPr>
          <w:rFonts w:ascii="Times New Roman" w:hAnsi="Times New Roman" w:cs="Times New Roman"/>
          <w:sz w:val="24"/>
          <w:szCs w:val="24"/>
        </w:rPr>
        <w:t xml:space="preserve">, et volinikule lisanduvad eelnõuga </w:t>
      </w:r>
      <w:r w:rsidR="001D4436" w:rsidRPr="00DB1F57">
        <w:rPr>
          <w:rFonts w:ascii="Times New Roman" w:hAnsi="Times New Roman" w:cs="Times New Roman"/>
          <w:sz w:val="24"/>
          <w:szCs w:val="24"/>
        </w:rPr>
        <w:t xml:space="preserve">uued ülesanded ning </w:t>
      </w:r>
      <w:r w:rsidR="00FE293A">
        <w:rPr>
          <w:rFonts w:ascii="Times New Roman" w:hAnsi="Times New Roman" w:cs="Times New Roman"/>
          <w:sz w:val="24"/>
          <w:szCs w:val="24"/>
        </w:rPr>
        <w:t xml:space="preserve">selleks on </w:t>
      </w:r>
      <w:r w:rsidR="001D4436" w:rsidRPr="00DB1F57">
        <w:rPr>
          <w:rFonts w:ascii="Times New Roman" w:hAnsi="Times New Roman" w:cs="Times New Roman"/>
          <w:sz w:val="24"/>
          <w:szCs w:val="24"/>
        </w:rPr>
        <w:t>ette nähtud ka „mõningane lisaressurss“.</w:t>
      </w:r>
      <w:r w:rsidR="00A81595">
        <w:rPr>
          <w:rFonts w:ascii="Times New Roman" w:hAnsi="Times New Roman" w:cs="Times New Roman"/>
          <w:sz w:val="24"/>
          <w:szCs w:val="24"/>
        </w:rPr>
        <w:t xml:space="preserve"> See on ebamäärane lubadus. Soovitame </w:t>
      </w:r>
      <w:r w:rsidR="00894BDF">
        <w:rPr>
          <w:rFonts w:ascii="Times New Roman" w:hAnsi="Times New Roman" w:cs="Times New Roman"/>
          <w:sz w:val="24"/>
          <w:szCs w:val="24"/>
        </w:rPr>
        <w:t xml:space="preserve">koostöös võrdõigusvoliniku kantseleiga </w:t>
      </w:r>
      <w:r w:rsidR="00A26A61">
        <w:rPr>
          <w:rFonts w:ascii="Times New Roman" w:hAnsi="Times New Roman" w:cs="Times New Roman"/>
          <w:sz w:val="24"/>
          <w:szCs w:val="24"/>
        </w:rPr>
        <w:t xml:space="preserve">täpsemalt </w:t>
      </w:r>
      <w:r w:rsidR="00A81595">
        <w:rPr>
          <w:rFonts w:ascii="Times New Roman" w:hAnsi="Times New Roman" w:cs="Times New Roman"/>
          <w:sz w:val="24"/>
          <w:szCs w:val="24"/>
        </w:rPr>
        <w:t>hinnata ressursi mahtu, mida on vaja, et volinik saaks</w:t>
      </w:r>
      <w:r w:rsidR="00A26A61">
        <w:rPr>
          <w:rFonts w:ascii="Times New Roman" w:hAnsi="Times New Roman" w:cs="Times New Roman"/>
          <w:sz w:val="24"/>
          <w:szCs w:val="24"/>
        </w:rPr>
        <w:t xml:space="preserve"> tõhusalt </w:t>
      </w:r>
      <w:r w:rsidR="009A4164">
        <w:rPr>
          <w:rFonts w:ascii="Times New Roman" w:hAnsi="Times New Roman" w:cs="Times New Roman"/>
          <w:sz w:val="24"/>
          <w:szCs w:val="24"/>
        </w:rPr>
        <w:t xml:space="preserve">ja piisavas mahus </w:t>
      </w:r>
      <w:r w:rsidR="00A26A61">
        <w:rPr>
          <w:rFonts w:ascii="Times New Roman" w:hAnsi="Times New Roman" w:cs="Times New Roman"/>
          <w:sz w:val="24"/>
          <w:szCs w:val="24"/>
        </w:rPr>
        <w:t xml:space="preserve">täita kõiki oma seadusjärgseid ülesandeid. </w:t>
      </w:r>
      <w:r w:rsidR="00A81595">
        <w:rPr>
          <w:rFonts w:ascii="Times New Roman" w:hAnsi="Times New Roman" w:cs="Times New Roman"/>
          <w:sz w:val="24"/>
          <w:szCs w:val="24"/>
        </w:rPr>
        <w:t xml:space="preserve"> </w:t>
      </w:r>
      <w:r w:rsidR="001D4436"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Pr="00DB1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FB324" w14:textId="77777777" w:rsidR="00BE212E" w:rsidRPr="00DB1F57" w:rsidRDefault="00BE212E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BCF5D" w14:textId="20E07524" w:rsidR="00393C69" w:rsidRPr="00DB1F57" w:rsidRDefault="00393C69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 xml:space="preserve">Alljärgnevalt on esitatud </w:t>
      </w:r>
      <w:r w:rsidR="00923C7D">
        <w:rPr>
          <w:rFonts w:ascii="Times New Roman" w:hAnsi="Times New Roman" w:cs="Times New Roman"/>
          <w:sz w:val="24"/>
          <w:szCs w:val="24"/>
        </w:rPr>
        <w:t>VõrdKS-i</w:t>
      </w:r>
      <w:r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="00B04D54">
        <w:rPr>
          <w:rFonts w:ascii="Times New Roman" w:hAnsi="Times New Roman" w:cs="Times New Roman"/>
          <w:sz w:val="24"/>
          <w:szCs w:val="24"/>
        </w:rPr>
        <w:t>paragrahvide planeeritavad muudatused</w:t>
      </w:r>
      <w:r w:rsidR="000027C2" w:rsidRPr="00DB1F57">
        <w:rPr>
          <w:rFonts w:ascii="Times New Roman" w:hAnsi="Times New Roman" w:cs="Times New Roman"/>
          <w:sz w:val="24"/>
          <w:szCs w:val="24"/>
        </w:rPr>
        <w:t xml:space="preserve">, mille kohta </w:t>
      </w:r>
      <w:r w:rsidR="0093416B">
        <w:rPr>
          <w:rFonts w:ascii="Times New Roman" w:hAnsi="Times New Roman" w:cs="Times New Roman"/>
          <w:sz w:val="24"/>
          <w:szCs w:val="24"/>
        </w:rPr>
        <w:t xml:space="preserve">meil on </w:t>
      </w:r>
      <w:r w:rsidR="000027C2" w:rsidRPr="00DB1F57">
        <w:rPr>
          <w:rFonts w:ascii="Times New Roman" w:hAnsi="Times New Roman" w:cs="Times New Roman"/>
          <w:sz w:val="24"/>
          <w:szCs w:val="24"/>
        </w:rPr>
        <w:t>kommentaar</w:t>
      </w:r>
      <w:r w:rsidR="0093416B">
        <w:rPr>
          <w:rFonts w:ascii="Times New Roman" w:hAnsi="Times New Roman" w:cs="Times New Roman"/>
          <w:sz w:val="24"/>
          <w:szCs w:val="24"/>
        </w:rPr>
        <w:t xml:space="preserve"> või ettepanek</w:t>
      </w:r>
      <w:r w:rsidR="000027C2" w:rsidRPr="00DB1F57">
        <w:rPr>
          <w:rFonts w:ascii="Times New Roman" w:hAnsi="Times New Roman" w:cs="Times New Roman"/>
          <w:sz w:val="24"/>
          <w:szCs w:val="24"/>
        </w:rPr>
        <w:t>.</w:t>
      </w:r>
    </w:p>
    <w:p w14:paraId="0C500C72" w14:textId="0392B148" w:rsidR="008B1CFC" w:rsidRPr="00DB1F57" w:rsidRDefault="008B1CF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7431EA" w:rsidRPr="00DB1F57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Pr="00DB1F57">
        <w:rPr>
          <w:rFonts w:ascii="Times New Roman" w:hAnsi="Times New Roman" w:cs="Times New Roman"/>
          <w:b/>
          <w:bCs/>
          <w:sz w:val="24"/>
          <w:szCs w:val="24"/>
        </w:rPr>
        <w:t>. Voliniku poole pöördumine</w:t>
      </w:r>
    </w:p>
    <w:p w14:paraId="03C0F0FF" w14:textId="77777777" w:rsidR="008B1CFC" w:rsidRPr="00DB1F57" w:rsidRDefault="008B1CF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(3) Volinik teavitab tema poole pöördunud isikut kümne tööpäeva jooksul pöördumise kättesaamisest arvates järgnevast:</w:t>
      </w:r>
    </w:p>
    <w:p w14:paraId="1BEA21C2" w14:textId="77777777" w:rsidR="008B1CFC" w:rsidRPr="00DB1F57" w:rsidRDefault="008B1CF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1) pöördumise esitaja kirjeldatud olukorda käsitlevad õigusaktid ja õiguskaitsevahendid;</w:t>
      </w:r>
    </w:p>
    <w:p w14:paraId="001DCF05" w14:textId="77777777" w:rsidR="008B1CFC" w:rsidRPr="00DB1F57" w:rsidRDefault="008B1CF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2) voliniku pädevus pöördumise aluseks olevas küsimuses, menetlustähtajad ja muud menetluslikud aspektid;</w:t>
      </w:r>
    </w:p>
    <w:p w14:paraId="129BA77E" w14:textId="77777777" w:rsidR="008B1CFC" w:rsidRPr="00DB1F57" w:rsidRDefault="008B1CF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3) pöördumisele kohaldatavad konfidentsiaalsuse ja isikuandmete kaitse reeglid;</w:t>
      </w:r>
    </w:p>
    <w:p w14:paraId="589DABAF" w14:textId="78755AD9" w:rsidR="00F80D0F" w:rsidRPr="00DB1F57" w:rsidRDefault="008B1CF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4) teistelt asutustelt või organisatsioonidelt psühholoogilise või muu asjakohase toetuse saamise võimalused.</w:t>
      </w:r>
    </w:p>
    <w:p w14:paraId="035245E8" w14:textId="608A7677" w:rsidR="000040D0" w:rsidRDefault="00F9319B" w:rsidP="00AE778A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>Leiame, et nii lühike</w:t>
      </w:r>
      <w:r w:rsidR="0043401C" w:rsidRPr="00DB1F57">
        <w:rPr>
          <w:rFonts w:ascii="Times New Roman" w:hAnsi="Times New Roman" w:cs="Times New Roman"/>
          <w:sz w:val="24"/>
          <w:szCs w:val="24"/>
        </w:rPr>
        <w:t>se</w:t>
      </w:r>
      <w:r w:rsidRPr="00DB1F57">
        <w:rPr>
          <w:rFonts w:ascii="Times New Roman" w:hAnsi="Times New Roman" w:cs="Times New Roman"/>
          <w:sz w:val="24"/>
          <w:szCs w:val="24"/>
        </w:rPr>
        <w:t xml:space="preserve"> tähtaja seadmine voliniku kantseleile</w:t>
      </w:r>
      <w:r w:rsidR="0043401C" w:rsidRPr="00DB1F57">
        <w:rPr>
          <w:rFonts w:ascii="Times New Roman" w:hAnsi="Times New Roman" w:cs="Times New Roman"/>
          <w:sz w:val="24"/>
          <w:szCs w:val="24"/>
        </w:rPr>
        <w:t xml:space="preserve"> on liigselt koormav. </w:t>
      </w:r>
      <w:r w:rsidR="00FB5ECA">
        <w:rPr>
          <w:rFonts w:ascii="Times New Roman" w:hAnsi="Times New Roman" w:cs="Times New Roman"/>
          <w:sz w:val="24"/>
          <w:szCs w:val="24"/>
        </w:rPr>
        <w:t>T</w:t>
      </w:r>
      <w:r w:rsidR="0043401C" w:rsidRPr="00DB1F57">
        <w:rPr>
          <w:rFonts w:ascii="Times New Roman" w:hAnsi="Times New Roman" w:cs="Times New Roman"/>
          <w:sz w:val="24"/>
          <w:szCs w:val="24"/>
        </w:rPr>
        <w:t>eis</w:t>
      </w:r>
      <w:r w:rsidR="00FB5ECA">
        <w:rPr>
          <w:rFonts w:ascii="Times New Roman" w:hAnsi="Times New Roman" w:cs="Times New Roman"/>
          <w:sz w:val="24"/>
          <w:szCs w:val="24"/>
        </w:rPr>
        <w:t>t</w:t>
      </w:r>
      <w:r w:rsidR="0043401C" w:rsidRPr="00DB1F57">
        <w:rPr>
          <w:rFonts w:ascii="Times New Roman" w:hAnsi="Times New Roman" w:cs="Times New Roman"/>
          <w:sz w:val="24"/>
          <w:szCs w:val="24"/>
        </w:rPr>
        <w:t>el</w:t>
      </w:r>
      <w:r w:rsidR="00635858" w:rsidRPr="00DB1F57">
        <w:rPr>
          <w:rFonts w:ascii="Times New Roman" w:hAnsi="Times New Roman" w:cs="Times New Roman"/>
          <w:sz w:val="24"/>
          <w:szCs w:val="24"/>
        </w:rPr>
        <w:t>e</w:t>
      </w:r>
      <w:r w:rsidR="0043401C" w:rsidRPr="00DB1F57">
        <w:rPr>
          <w:rFonts w:ascii="Times New Roman" w:hAnsi="Times New Roman" w:cs="Times New Roman"/>
          <w:sz w:val="24"/>
          <w:szCs w:val="24"/>
        </w:rPr>
        <w:t xml:space="preserve"> asutus</w:t>
      </w:r>
      <w:r w:rsidR="00FB5ECA">
        <w:rPr>
          <w:rFonts w:ascii="Times New Roman" w:hAnsi="Times New Roman" w:cs="Times New Roman"/>
          <w:sz w:val="24"/>
          <w:szCs w:val="24"/>
        </w:rPr>
        <w:t>t</w:t>
      </w:r>
      <w:r w:rsidR="0043401C" w:rsidRPr="00DB1F57">
        <w:rPr>
          <w:rFonts w:ascii="Times New Roman" w:hAnsi="Times New Roman" w:cs="Times New Roman"/>
          <w:sz w:val="24"/>
          <w:szCs w:val="24"/>
        </w:rPr>
        <w:t>el</w:t>
      </w:r>
      <w:r w:rsidR="00635858" w:rsidRPr="00DB1F57">
        <w:rPr>
          <w:rFonts w:ascii="Times New Roman" w:hAnsi="Times New Roman" w:cs="Times New Roman"/>
          <w:sz w:val="24"/>
          <w:szCs w:val="24"/>
        </w:rPr>
        <w:t>e, sh sadade töötajatega suurtele ministeeriumidele,</w:t>
      </w:r>
      <w:r w:rsidR="0043401C" w:rsidRPr="00DB1F57">
        <w:rPr>
          <w:rFonts w:ascii="Times New Roman" w:hAnsi="Times New Roman" w:cs="Times New Roman"/>
          <w:sz w:val="24"/>
          <w:szCs w:val="24"/>
        </w:rPr>
        <w:t xml:space="preserve"> ei ole </w:t>
      </w:r>
      <w:r w:rsidR="00FB5ECA">
        <w:rPr>
          <w:rFonts w:ascii="Times New Roman" w:hAnsi="Times New Roman" w:cs="Times New Roman"/>
          <w:sz w:val="24"/>
          <w:szCs w:val="24"/>
        </w:rPr>
        <w:t xml:space="preserve">üldjuhul </w:t>
      </w:r>
      <w:r w:rsidR="00635858" w:rsidRPr="00DB1F57">
        <w:rPr>
          <w:rFonts w:ascii="Times New Roman" w:hAnsi="Times New Roman" w:cs="Times New Roman"/>
          <w:sz w:val="24"/>
          <w:szCs w:val="24"/>
        </w:rPr>
        <w:t xml:space="preserve">kehtestatud nii lühikest tähtaega </w:t>
      </w:r>
      <w:r w:rsidR="002040CE" w:rsidRPr="00DB1F57">
        <w:rPr>
          <w:rFonts w:ascii="Times New Roman" w:hAnsi="Times New Roman" w:cs="Times New Roman"/>
          <w:sz w:val="24"/>
          <w:szCs w:val="24"/>
        </w:rPr>
        <w:t>menetluslikes küsimustes. Kui soov on tagada see, et pöördu</w:t>
      </w:r>
      <w:r w:rsidR="007301A7">
        <w:rPr>
          <w:rFonts w:ascii="Times New Roman" w:hAnsi="Times New Roman" w:cs="Times New Roman"/>
          <w:sz w:val="24"/>
          <w:szCs w:val="24"/>
        </w:rPr>
        <w:t>mise esitajale</w:t>
      </w:r>
      <w:r w:rsidR="002040CE" w:rsidRPr="00DB1F57">
        <w:rPr>
          <w:rFonts w:ascii="Times New Roman" w:hAnsi="Times New Roman" w:cs="Times New Roman"/>
          <w:sz w:val="24"/>
          <w:szCs w:val="24"/>
        </w:rPr>
        <w:t xml:space="preserve"> saab lühikese aja jooksul</w:t>
      </w:r>
      <w:r w:rsidR="005056AE">
        <w:rPr>
          <w:rFonts w:ascii="Times New Roman" w:hAnsi="Times New Roman" w:cs="Times New Roman"/>
          <w:sz w:val="24"/>
          <w:szCs w:val="24"/>
        </w:rPr>
        <w:t xml:space="preserve"> teatavaks</w:t>
      </w:r>
      <w:r w:rsidR="002040CE" w:rsidRPr="00DB1F57">
        <w:rPr>
          <w:rFonts w:ascii="Times New Roman" w:hAnsi="Times New Roman" w:cs="Times New Roman"/>
          <w:sz w:val="24"/>
          <w:szCs w:val="24"/>
        </w:rPr>
        <w:t xml:space="preserve">, et tema kaebus </w:t>
      </w:r>
      <w:r w:rsidR="002C64D9" w:rsidRPr="00DB1F57">
        <w:rPr>
          <w:rFonts w:ascii="Times New Roman" w:hAnsi="Times New Roman" w:cs="Times New Roman"/>
          <w:sz w:val="24"/>
          <w:szCs w:val="24"/>
        </w:rPr>
        <w:t xml:space="preserve">on </w:t>
      </w:r>
      <w:r w:rsidR="005056AE">
        <w:rPr>
          <w:rFonts w:ascii="Times New Roman" w:hAnsi="Times New Roman" w:cs="Times New Roman"/>
          <w:sz w:val="24"/>
          <w:szCs w:val="24"/>
        </w:rPr>
        <w:t>kantselei</w:t>
      </w:r>
      <w:r w:rsidR="005207F8">
        <w:rPr>
          <w:rFonts w:ascii="Times New Roman" w:hAnsi="Times New Roman" w:cs="Times New Roman"/>
          <w:sz w:val="24"/>
          <w:szCs w:val="24"/>
        </w:rPr>
        <w:t>s</w:t>
      </w:r>
      <w:r w:rsidR="005056AE">
        <w:rPr>
          <w:rFonts w:ascii="Times New Roman" w:hAnsi="Times New Roman" w:cs="Times New Roman"/>
          <w:sz w:val="24"/>
          <w:szCs w:val="24"/>
        </w:rPr>
        <w:t xml:space="preserve"> </w:t>
      </w:r>
      <w:r w:rsidR="002C64D9" w:rsidRPr="00DB1F57">
        <w:rPr>
          <w:rFonts w:ascii="Times New Roman" w:hAnsi="Times New Roman" w:cs="Times New Roman"/>
          <w:sz w:val="24"/>
          <w:szCs w:val="24"/>
        </w:rPr>
        <w:t>kätte saadud</w:t>
      </w:r>
      <w:r w:rsidR="007E2040">
        <w:rPr>
          <w:rFonts w:ascii="Times New Roman" w:hAnsi="Times New Roman" w:cs="Times New Roman"/>
          <w:sz w:val="24"/>
          <w:szCs w:val="24"/>
        </w:rPr>
        <w:t xml:space="preserve">, piisab sellest, kui </w:t>
      </w:r>
      <w:r w:rsidR="00241780">
        <w:rPr>
          <w:rFonts w:ascii="Times New Roman" w:hAnsi="Times New Roman" w:cs="Times New Roman"/>
          <w:sz w:val="24"/>
          <w:szCs w:val="24"/>
        </w:rPr>
        <w:t xml:space="preserve">pöördujale saadetakse </w:t>
      </w:r>
      <w:r w:rsidR="005056AE">
        <w:rPr>
          <w:rFonts w:ascii="Times New Roman" w:hAnsi="Times New Roman" w:cs="Times New Roman"/>
          <w:sz w:val="24"/>
          <w:szCs w:val="24"/>
        </w:rPr>
        <w:t>(</w:t>
      </w:r>
      <w:r w:rsidR="00AE778A">
        <w:rPr>
          <w:rFonts w:ascii="Times New Roman" w:hAnsi="Times New Roman" w:cs="Times New Roman"/>
          <w:sz w:val="24"/>
          <w:szCs w:val="24"/>
        </w:rPr>
        <w:t xml:space="preserve">e-kirjade puhul </w:t>
      </w:r>
      <w:r w:rsidR="005056AE">
        <w:rPr>
          <w:rFonts w:ascii="Times New Roman" w:hAnsi="Times New Roman" w:cs="Times New Roman"/>
          <w:sz w:val="24"/>
          <w:szCs w:val="24"/>
        </w:rPr>
        <w:t xml:space="preserve">automaatne) </w:t>
      </w:r>
      <w:r w:rsidR="00241780">
        <w:rPr>
          <w:rFonts w:ascii="Times New Roman" w:hAnsi="Times New Roman" w:cs="Times New Roman"/>
          <w:sz w:val="24"/>
          <w:szCs w:val="24"/>
        </w:rPr>
        <w:t xml:space="preserve">kinnituskiri, milles on </w:t>
      </w:r>
      <w:r w:rsidR="0057005E">
        <w:rPr>
          <w:rFonts w:ascii="Times New Roman" w:hAnsi="Times New Roman" w:cs="Times New Roman"/>
          <w:sz w:val="24"/>
          <w:szCs w:val="24"/>
        </w:rPr>
        <w:t>lühiülevaade voliniku pädevusest, menetlustähtajad</w:t>
      </w:r>
      <w:r w:rsidR="00AE778A">
        <w:rPr>
          <w:rFonts w:ascii="Times New Roman" w:hAnsi="Times New Roman" w:cs="Times New Roman"/>
          <w:sz w:val="24"/>
          <w:szCs w:val="24"/>
        </w:rPr>
        <w:t xml:space="preserve">, </w:t>
      </w:r>
      <w:r w:rsidR="00AE778A" w:rsidRPr="00AE778A">
        <w:rPr>
          <w:rFonts w:ascii="Times New Roman" w:hAnsi="Times New Roman" w:cs="Times New Roman"/>
          <w:sz w:val="24"/>
          <w:szCs w:val="24"/>
        </w:rPr>
        <w:t>pöördumisele kohaldatavad konfidentsiaalsuse ja isikuandmete kaitse reeglid</w:t>
      </w:r>
      <w:r w:rsidR="00AE778A">
        <w:rPr>
          <w:rFonts w:ascii="Times New Roman" w:hAnsi="Times New Roman" w:cs="Times New Roman"/>
          <w:sz w:val="24"/>
          <w:szCs w:val="24"/>
        </w:rPr>
        <w:t xml:space="preserve"> ning t</w:t>
      </w:r>
      <w:r w:rsidR="00AE778A" w:rsidRPr="00AE778A">
        <w:rPr>
          <w:rFonts w:ascii="Times New Roman" w:hAnsi="Times New Roman" w:cs="Times New Roman"/>
          <w:sz w:val="24"/>
          <w:szCs w:val="24"/>
        </w:rPr>
        <w:t>eistelt asutustelt või organisatsioonidelt psühholoogilise või muu asjakohase toetuse saamise võimalused.</w:t>
      </w:r>
      <w:r w:rsidR="00AE778A">
        <w:rPr>
          <w:rFonts w:ascii="Times New Roman" w:hAnsi="Times New Roman" w:cs="Times New Roman"/>
          <w:sz w:val="24"/>
          <w:szCs w:val="24"/>
        </w:rPr>
        <w:t xml:space="preserve"> Info </w:t>
      </w:r>
      <w:r w:rsidR="00B5560A">
        <w:rPr>
          <w:rFonts w:ascii="Times New Roman" w:hAnsi="Times New Roman" w:cs="Times New Roman"/>
          <w:sz w:val="24"/>
          <w:szCs w:val="24"/>
        </w:rPr>
        <w:t>ei peaks olema pöördumise põhine, st see ei peaks</w:t>
      </w:r>
      <w:r w:rsidR="00067349">
        <w:rPr>
          <w:rFonts w:ascii="Times New Roman" w:hAnsi="Times New Roman" w:cs="Times New Roman"/>
          <w:sz w:val="24"/>
          <w:szCs w:val="24"/>
        </w:rPr>
        <w:t xml:space="preserve"> nõudma pöördumise kohta õigusliku (eel-)analüüsi valmimist 10 tööpäeva jooksul.</w:t>
      </w:r>
      <w:r w:rsidR="00AE778A">
        <w:rPr>
          <w:rFonts w:ascii="Times New Roman" w:hAnsi="Times New Roman" w:cs="Times New Roman"/>
          <w:sz w:val="24"/>
          <w:szCs w:val="24"/>
        </w:rPr>
        <w:t xml:space="preserve"> </w:t>
      </w:r>
      <w:r w:rsidR="0057005E">
        <w:rPr>
          <w:rFonts w:ascii="Times New Roman" w:hAnsi="Times New Roman" w:cs="Times New Roman"/>
          <w:sz w:val="24"/>
          <w:szCs w:val="24"/>
        </w:rPr>
        <w:t xml:space="preserve"> </w:t>
      </w:r>
      <w:r w:rsidR="002C64D9" w:rsidRPr="00DB1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4C901" w14:textId="448D8CC7" w:rsidR="00E7664D" w:rsidRPr="00DB1F57" w:rsidRDefault="00531303" w:rsidP="00E76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Direktiiv </w:t>
      </w:r>
      <w:r w:rsidR="007866E0">
        <w:rPr>
          <w:rFonts w:ascii="Times New Roman" w:hAnsi="Times New Roman" w:cs="Times New Roman"/>
          <w:sz w:val="24"/>
          <w:szCs w:val="24"/>
        </w:rPr>
        <w:t xml:space="preserve">2024/1499 </w:t>
      </w:r>
      <w:r w:rsidR="00357D45">
        <w:rPr>
          <w:rFonts w:ascii="Times New Roman" w:hAnsi="Times New Roman" w:cs="Times New Roman"/>
          <w:sz w:val="24"/>
          <w:szCs w:val="24"/>
        </w:rPr>
        <w:t xml:space="preserve">artikkel 6 lg 2 </w:t>
      </w:r>
      <w:r w:rsidR="007866E0">
        <w:rPr>
          <w:rFonts w:ascii="Times New Roman" w:hAnsi="Times New Roman" w:cs="Times New Roman"/>
          <w:sz w:val="24"/>
          <w:szCs w:val="24"/>
        </w:rPr>
        <w:t>sätestab küll</w:t>
      </w:r>
      <w:r w:rsidR="00357D45">
        <w:rPr>
          <w:rFonts w:ascii="Times New Roman" w:hAnsi="Times New Roman" w:cs="Times New Roman"/>
          <w:sz w:val="24"/>
          <w:szCs w:val="24"/>
        </w:rPr>
        <w:t xml:space="preserve"> sarnase </w:t>
      </w:r>
      <w:r w:rsidR="00E7664D">
        <w:rPr>
          <w:rFonts w:ascii="Times New Roman" w:hAnsi="Times New Roman" w:cs="Times New Roman"/>
          <w:sz w:val="24"/>
          <w:szCs w:val="24"/>
        </w:rPr>
        <w:t xml:space="preserve">nimistu nagu eelnõus, kuid ei nõua liikmesriigilt, et asutus peaks pöördujale info just 10 tööpäeva jooksul edastama. </w:t>
      </w:r>
      <w:r w:rsidR="00507674">
        <w:rPr>
          <w:rFonts w:ascii="Times New Roman" w:hAnsi="Times New Roman" w:cs="Times New Roman"/>
          <w:sz w:val="24"/>
          <w:szCs w:val="24"/>
        </w:rPr>
        <w:t xml:space="preserve">Soovitame, et kõnealuse </w:t>
      </w:r>
      <w:r w:rsidR="000C5BB8">
        <w:rPr>
          <w:rFonts w:ascii="Times New Roman" w:hAnsi="Times New Roman" w:cs="Times New Roman"/>
          <w:sz w:val="24"/>
          <w:szCs w:val="24"/>
        </w:rPr>
        <w:t xml:space="preserve">tähtaja osas võiks ametis olev volinik ise öelda, mis oleks mõistlik tähtaeg. </w:t>
      </w:r>
    </w:p>
    <w:p w14:paraId="0978456C" w14:textId="2554660F" w:rsidR="00940C66" w:rsidRPr="00DB1F57" w:rsidRDefault="00940C66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4D10A" w14:textId="308115F0" w:rsidR="000040D0" w:rsidRPr="00DB1F57" w:rsidRDefault="00EB0C19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582875">
        <w:rPr>
          <w:rFonts w:ascii="Times New Roman" w:hAnsi="Times New Roman" w:cs="Times New Roman"/>
          <w:b/>
          <w:bCs/>
          <w:sz w:val="24"/>
          <w:szCs w:val="24"/>
        </w:rPr>
        <w:t xml:space="preserve"> lg </w:t>
      </w:r>
      <w:r w:rsidR="000040D0" w:rsidRPr="00DB1F57">
        <w:rPr>
          <w:rFonts w:ascii="Times New Roman" w:hAnsi="Times New Roman" w:cs="Times New Roman"/>
          <w:b/>
          <w:bCs/>
          <w:sz w:val="24"/>
          <w:szCs w:val="24"/>
        </w:rPr>
        <w:t>5 Nõustamise saamiseks esitatud pöördumisele vastab volinik esimesel võimalusel, kuid mitte hiljem kui ühe kuu möödumisel pöördumisest.</w:t>
      </w:r>
    </w:p>
    <w:p w14:paraId="2B553D58" w14:textId="1D0A93A9" w:rsidR="00F4535B" w:rsidRDefault="00582875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sätte mõte on see, et nõustamine peaks leidma aset ühe kuu jooksul, siis vajab säte täpsemat sõnastamist. Praegu</w:t>
      </w:r>
      <w:r w:rsidR="00775795">
        <w:rPr>
          <w:rFonts w:ascii="Times New Roman" w:hAnsi="Times New Roman" w:cs="Times New Roman"/>
          <w:sz w:val="24"/>
          <w:szCs w:val="24"/>
        </w:rPr>
        <w:t>se sõnastuse korral</w:t>
      </w:r>
      <w:r>
        <w:rPr>
          <w:rFonts w:ascii="Times New Roman" w:hAnsi="Times New Roman" w:cs="Times New Roman"/>
          <w:sz w:val="24"/>
          <w:szCs w:val="24"/>
        </w:rPr>
        <w:t xml:space="preserve"> on võimalik mõista, et piisab, kui </w:t>
      </w:r>
      <w:r w:rsidR="008F0DF2">
        <w:rPr>
          <w:rFonts w:ascii="Times New Roman" w:hAnsi="Times New Roman" w:cs="Times New Roman"/>
          <w:sz w:val="24"/>
          <w:szCs w:val="24"/>
        </w:rPr>
        <w:t>nõustamise soovile vastatakse kuu jooksul kirjaga, mi</w:t>
      </w:r>
      <w:r w:rsidR="000616A9">
        <w:rPr>
          <w:rFonts w:ascii="Times New Roman" w:hAnsi="Times New Roman" w:cs="Times New Roman"/>
          <w:sz w:val="24"/>
          <w:szCs w:val="24"/>
        </w:rPr>
        <w:t>lles</w:t>
      </w:r>
      <w:r w:rsidR="008F0DF2">
        <w:rPr>
          <w:rFonts w:ascii="Times New Roman" w:hAnsi="Times New Roman" w:cs="Times New Roman"/>
          <w:sz w:val="24"/>
          <w:szCs w:val="24"/>
        </w:rPr>
        <w:t xml:space="preserve"> paku</w:t>
      </w:r>
      <w:r w:rsidR="000616A9">
        <w:rPr>
          <w:rFonts w:ascii="Times New Roman" w:hAnsi="Times New Roman" w:cs="Times New Roman"/>
          <w:sz w:val="24"/>
          <w:szCs w:val="24"/>
        </w:rPr>
        <w:t>takse</w:t>
      </w:r>
      <w:r w:rsidR="008F0DF2">
        <w:rPr>
          <w:rFonts w:ascii="Times New Roman" w:hAnsi="Times New Roman" w:cs="Times New Roman"/>
          <w:sz w:val="24"/>
          <w:szCs w:val="24"/>
        </w:rPr>
        <w:t xml:space="preserve"> välja nõustamise a</w:t>
      </w:r>
      <w:r w:rsidR="000616A9">
        <w:rPr>
          <w:rFonts w:ascii="Times New Roman" w:hAnsi="Times New Roman" w:cs="Times New Roman"/>
          <w:sz w:val="24"/>
          <w:szCs w:val="24"/>
        </w:rPr>
        <w:t>eg või küsitakse täpsustavaid küsimusi, kuid nõustamine ise ühe kuu jooksul ei toimu</w:t>
      </w:r>
      <w:r w:rsidR="009C324C" w:rsidRPr="00DB1F57">
        <w:rPr>
          <w:rFonts w:ascii="Times New Roman" w:hAnsi="Times New Roman" w:cs="Times New Roman"/>
          <w:sz w:val="24"/>
          <w:szCs w:val="24"/>
        </w:rPr>
        <w:t>.</w:t>
      </w:r>
      <w:r w:rsidR="007757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426B3" w14:textId="152122D0" w:rsidR="0081392A" w:rsidRPr="00DB1F57" w:rsidRDefault="0081392A" w:rsidP="00813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EF8B4" w14:textId="3DB54329" w:rsidR="009C324C" w:rsidRPr="00DB1F57" w:rsidRDefault="006930E2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§ 17 lg 6</w:t>
      </w:r>
    </w:p>
    <w:p w14:paraId="36B70F8F" w14:textId="4688E189" w:rsidR="006930E2" w:rsidRPr="00DB1F57" w:rsidRDefault="006930E2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 xml:space="preserve">Omal algatusel antud arvamuse puhul või </w:t>
      </w:r>
      <w:r w:rsidRPr="005207F8">
        <w:rPr>
          <w:rFonts w:ascii="Times New Roman" w:hAnsi="Times New Roman" w:cs="Times New Roman"/>
          <w:b/>
          <w:bCs/>
          <w:sz w:val="24"/>
          <w:szCs w:val="24"/>
        </w:rPr>
        <w:t>arvamuse taotleja kirjalikul nõusolekul</w:t>
      </w:r>
      <w:r w:rsidRPr="00DB1F57">
        <w:rPr>
          <w:rFonts w:ascii="Times New Roman" w:hAnsi="Times New Roman" w:cs="Times New Roman"/>
          <w:b/>
          <w:bCs/>
          <w:sz w:val="24"/>
          <w:szCs w:val="24"/>
        </w:rPr>
        <w:t xml:space="preserve"> edastab volinik arvamuse isikule, kes vastutab võrdse kohtlemise põhimõtte rakendamise või edendamiskohustuse täitmise eest arvamuse aluseks olevas olukorras.“</w:t>
      </w:r>
    </w:p>
    <w:p w14:paraId="06693504" w14:textId="253CDB23" w:rsidR="006930E2" w:rsidRDefault="00460EB7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Voliniku arvamuse andmi</w:t>
      </w:r>
      <w:r w:rsidR="00C94827">
        <w:rPr>
          <w:rFonts w:ascii="Times New Roman" w:hAnsi="Times New Roman" w:cs="Times New Roman"/>
          <w:sz w:val="24"/>
          <w:szCs w:val="24"/>
        </w:rPr>
        <w:t xml:space="preserve">sele eelneb </w:t>
      </w:r>
      <w:r w:rsidR="000B082E">
        <w:rPr>
          <w:rFonts w:ascii="Times New Roman" w:hAnsi="Times New Roman" w:cs="Times New Roman"/>
          <w:sz w:val="24"/>
          <w:szCs w:val="24"/>
        </w:rPr>
        <w:t xml:space="preserve">uurimismenetlus, mille raames küsib volinik vajadusel nii kaebuse esitajalt kui ka väidetavalt diskrimineerijalt </w:t>
      </w:r>
      <w:r w:rsidR="002D452B">
        <w:rPr>
          <w:rFonts w:ascii="Times New Roman" w:hAnsi="Times New Roman" w:cs="Times New Roman"/>
          <w:sz w:val="24"/>
          <w:szCs w:val="24"/>
        </w:rPr>
        <w:t>selgitusi ja dokumente</w:t>
      </w:r>
      <w:r w:rsidR="00D0572D">
        <w:rPr>
          <w:rFonts w:ascii="Times New Roman" w:hAnsi="Times New Roman" w:cs="Times New Roman"/>
          <w:sz w:val="24"/>
          <w:szCs w:val="24"/>
        </w:rPr>
        <w:t>, mille abil saab volinik hinnata, kas toimunud on diskrimineerimine</w:t>
      </w:r>
      <w:r w:rsidR="002D452B">
        <w:rPr>
          <w:rFonts w:ascii="Times New Roman" w:hAnsi="Times New Roman" w:cs="Times New Roman"/>
          <w:sz w:val="24"/>
          <w:szCs w:val="24"/>
        </w:rPr>
        <w:t>. Tegemist on haldusmenetlusega</w:t>
      </w:r>
      <w:r w:rsidR="000F15AD">
        <w:rPr>
          <w:rFonts w:ascii="Times New Roman" w:hAnsi="Times New Roman" w:cs="Times New Roman"/>
          <w:sz w:val="24"/>
          <w:szCs w:val="24"/>
        </w:rPr>
        <w:t xml:space="preserve"> </w:t>
      </w:r>
      <w:r w:rsidR="00C20F4C">
        <w:rPr>
          <w:rFonts w:ascii="Times New Roman" w:hAnsi="Times New Roman" w:cs="Times New Roman"/>
          <w:sz w:val="24"/>
          <w:szCs w:val="24"/>
        </w:rPr>
        <w:t>haldusmenetluse seaduse tähenduses</w:t>
      </w:r>
      <w:r w:rsidR="002D452B">
        <w:rPr>
          <w:rFonts w:ascii="Times New Roman" w:hAnsi="Times New Roman" w:cs="Times New Roman"/>
          <w:sz w:val="24"/>
          <w:szCs w:val="24"/>
        </w:rPr>
        <w:t xml:space="preserve">. </w:t>
      </w:r>
      <w:r w:rsidR="00681514">
        <w:rPr>
          <w:rFonts w:ascii="Times New Roman" w:hAnsi="Times New Roman" w:cs="Times New Roman"/>
          <w:sz w:val="24"/>
          <w:szCs w:val="24"/>
        </w:rPr>
        <w:t xml:space="preserve">Kui </w:t>
      </w:r>
      <w:r w:rsidR="00D478CB">
        <w:rPr>
          <w:rFonts w:ascii="Times New Roman" w:hAnsi="Times New Roman" w:cs="Times New Roman"/>
          <w:sz w:val="24"/>
          <w:szCs w:val="24"/>
        </w:rPr>
        <w:t xml:space="preserve">konkreetne isik on voliniku arvamuse andmise menetluse pooleks, peab ta </w:t>
      </w:r>
      <w:r w:rsidR="007A362E">
        <w:rPr>
          <w:rFonts w:ascii="Times New Roman" w:hAnsi="Times New Roman" w:cs="Times New Roman"/>
          <w:sz w:val="24"/>
          <w:szCs w:val="24"/>
        </w:rPr>
        <w:t xml:space="preserve">ka </w:t>
      </w:r>
      <w:r w:rsidR="00D478CB">
        <w:rPr>
          <w:rFonts w:ascii="Times New Roman" w:hAnsi="Times New Roman" w:cs="Times New Roman"/>
          <w:sz w:val="24"/>
          <w:szCs w:val="24"/>
        </w:rPr>
        <w:t xml:space="preserve">saama </w:t>
      </w:r>
      <w:r w:rsidR="00237023">
        <w:rPr>
          <w:rFonts w:ascii="Times New Roman" w:hAnsi="Times New Roman" w:cs="Times New Roman"/>
          <w:sz w:val="24"/>
          <w:szCs w:val="24"/>
        </w:rPr>
        <w:t xml:space="preserve">tutvuda menetluse tulemusel valmiva arvamusega, mis teda ju </w:t>
      </w:r>
      <w:r w:rsidR="002623D7">
        <w:rPr>
          <w:rFonts w:ascii="Times New Roman" w:hAnsi="Times New Roman" w:cs="Times New Roman"/>
          <w:sz w:val="24"/>
          <w:szCs w:val="24"/>
        </w:rPr>
        <w:t xml:space="preserve">vahetult </w:t>
      </w:r>
      <w:r w:rsidR="00237023">
        <w:rPr>
          <w:rFonts w:ascii="Times New Roman" w:hAnsi="Times New Roman" w:cs="Times New Roman"/>
          <w:sz w:val="24"/>
          <w:szCs w:val="24"/>
        </w:rPr>
        <w:t xml:space="preserve">puudutab. </w:t>
      </w:r>
      <w:r w:rsidR="00B82DD1" w:rsidRPr="00DB1F57">
        <w:rPr>
          <w:rFonts w:ascii="Times New Roman" w:hAnsi="Times New Roman" w:cs="Times New Roman"/>
          <w:sz w:val="24"/>
          <w:szCs w:val="24"/>
        </w:rPr>
        <w:t>Siin</w:t>
      </w:r>
      <w:r w:rsidR="00D95BF4">
        <w:rPr>
          <w:rFonts w:ascii="Times New Roman" w:hAnsi="Times New Roman" w:cs="Times New Roman"/>
          <w:sz w:val="24"/>
          <w:szCs w:val="24"/>
        </w:rPr>
        <w:t xml:space="preserve">ses lõikes on aga sätestatud, et arvamus edastatakse vastustajale vaid siis, kui arvamuse taotleja on andnud selleks kirjaliku nõusoleku. </w:t>
      </w:r>
      <w:r w:rsidR="001540BD">
        <w:rPr>
          <w:rFonts w:ascii="Times New Roman" w:hAnsi="Times New Roman" w:cs="Times New Roman"/>
          <w:sz w:val="24"/>
          <w:szCs w:val="24"/>
        </w:rPr>
        <w:t xml:space="preserve">Säte võib olla sellises sõnastuses </w:t>
      </w:r>
      <w:r w:rsidR="00016913">
        <w:rPr>
          <w:rFonts w:ascii="Times New Roman" w:hAnsi="Times New Roman" w:cs="Times New Roman"/>
          <w:sz w:val="24"/>
          <w:szCs w:val="24"/>
        </w:rPr>
        <w:t xml:space="preserve">kehtiva õigusega vastuolus ja </w:t>
      </w:r>
      <w:r w:rsidR="001540BD">
        <w:rPr>
          <w:rFonts w:ascii="Times New Roman" w:hAnsi="Times New Roman" w:cs="Times New Roman"/>
          <w:sz w:val="24"/>
          <w:szCs w:val="24"/>
        </w:rPr>
        <w:t xml:space="preserve">eksitav, st arvamuse taotlejal ei peaks olema õigust vetostada arvamuse edastamist vastustajale. </w:t>
      </w:r>
      <w:r w:rsidR="009865DC">
        <w:rPr>
          <w:rFonts w:ascii="Times New Roman" w:hAnsi="Times New Roman" w:cs="Times New Roman"/>
          <w:sz w:val="24"/>
          <w:szCs w:val="24"/>
        </w:rPr>
        <w:t>Sätte asemel p</w:t>
      </w:r>
      <w:r w:rsidR="001540BD">
        <w:rPr>
          <w:rFonts w:ascii="Times New Roman" w:hAnsi="Times New Roman" w:cs="Times New Roman"/>
          <w:sz w:val="24"/>
          <w:szCs w:val="24"/>
        </w:rPr>
        <w:t>iisa</w:t>
      </w:r>
      <w:r w:rsidR="009865DC">
        <w:rPr>
          <w:rFonts w:ascii="Times New Roman" w:hAnsi="Times New Roman" w:cs="Times New Roman"/>
          <w:sz w:val="24"/>
          <w:szCs w:val="24"/>
        </w:rPr>
        <w:t>ks</w:t>
      </w:r>
      <w:r w:rsidR="001540BD">
        <w:rPr>
          <w:rFonts w:ascii="Times New Roman" w:hAnsi="Times New Roman" w:cs="Times New Roman"/>
          <w:sz w:val="24"/>
          <w:szCs w:val="24"/>
        </w:rPr>
        <w:t xml:space="preserve"> sellest, kui voliniku kantselei sisedokument, nt menetluskord vms, näeb ette, et </w:t>
      </w:r>
      <w:r w:rsidR="000063A7">
        <w:rPr>
          <w:rFonts w:ascii="Times New Roman" w:hAnsi="Times New Roman" w:cs="Times New Roman"/>
          <w:sz w:val="24"/>
          <w:szCs w:val="24"/>
        </w:rPr>
        <w:t>arvamuse taotlejale</w:t>
      </w:r>
      <w:r w:rsidR="001540BD">
        <w:rPr>
          <w:rFonts w:ascii="Times New Roman" w:hAnsi="Times New Roman" w:cs="Times New Roman"/>
          <w:sz w:val="24"/>
          <w:szCs w:val="24"/>
        </w:rPr>
        <w:t xml:space="preserve"> selgitatakse, et kui volinik alustab menetlust arvamuse andmiseks, tähendab see ühtlasi seda, et</w:t>
      </w:r>
      <w:r w:rsidR="000063A7">
        <w:rPr>
          <w:rFonts w:ascii="Times New Roman" w:hAnsi="Times New Roman" w:cs="Times New Roman"/>
          <w:sz w:val="24"/>
          <w:szCs w:val="24"/>
        </w:rPr>
        <w:t xml:space="preserve"> arvamus edastatakse ka teisele menetluspoolele.</w:t>
      </w:r>
      <w:r w:rsidR="00986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6DF8B" w14:textId="77777777" w:rsidR="004F6C23" w:rsidRPr="00DB1F57" w:rsidRDefault="004F6C23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477FB" w14:textId="5622D344" w:rsidR="00DD66B2" w:rsidRPr="00DB1F57" w:rsidRDefault="00041794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DD66B2" w:rsidRPr="00DB1F57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Pr="00DB1F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D66B2" w:rsidRPr="00DB1F57">
        <w:rPr>
          <w:rFonts w:ascii="Times New Roman" w:hAnsi="Times New Roman" w:cs="Times New Roman"/>
          <w:b/>
          <w:bCs/>
          <w:sz w:val="24"/>
          <w:szCs w:val="24"/>
        </w:rPr>
        <w:t>(6) Volinik lõpetab siduva arvamuse andmise menetluse arvamust andmata, kui:</w:t>
      </w:r>
    </w:p>
    <w:p w14:paraId="1C9B957A" w14:textId="77777777" w:rsidR="00DD66B2" w:rsidRPr="00DB1F57" w:rsidRDefault="00DD66B2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1) pooled sõlmivad kompromissi või lepivad kokku siduva arvamuse taotlemisest loobumises;</w:t>
      </w:r>
    </w:p>
    <w:p w14:paraId="4AFAA8B7" w14:textId="17C23321" w:rsidR="00A014DE" w:rsidRPr="00DB1F57" w:rsidRDefault="00DD66B2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F57">
        <w:rPr>
          <w:rFonts w:ascii="Times New Roman" w:hAnsi="Times New Roman" w:cs="Times New Roman"/>
          <w:b/>
          <w:bCs/>
          <w:sz w:val="24"/>
          <w:szCs w:val="24"/>
        </w:rPr>
        <w:t>2) pool ei osale menetluses või teavitab volinikku siduva arvamuse taotlemisest loobumisest.</w:t>
      </w:r>
    </w:p>
    <w:p w14:paraId="01514633" w14:textId="4BB21FC6" w:rsidR="00DD66B2" w:rsidRDefault="009865DC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Tervitame </w:t>
      </w:r>
      <w:r w:rsidR="009F1A4E">
        <w:rPr>
          <w:rFonts w:ascii="Times New Roman" w:hAnsi="Times New Roman" w:cs="Times New Roman"/>
          <w:sz w:val="24"/>
          <w:szCs w:val="24"/>
        </w:rPr>
        <w:t xml:space="preserve">plaani anda </w:t>
      </w:r>
      <w:r w:rsidR="00863ABD">
        <w:rPr>
          <w:rFonts w:ascii="Times New Roman" w:hAnsi="Times New Roman" w:cs="Times New Roman"/>
          <w:sz w:val="24"/>
          <w:szCs w:val="24"/>
        </w:rPr>
        <w:t>volinikule õigus viia läbi siduva arvamuse</w:t>
      </w:r>
      <w:r w:rsidR="001550E4">
        <w:rPr>
          <w:rFonts w:ascii="Times New Roman" w:hAnsi="Times New Roman" w:cs="Times New Roman"/>
          <w:sz w:val="24"/>
          <w:szCs w:val="24"/>
        </w:rPr>
        <w:t>ga</w:t>
      </w:r>
      <w:r w:rsidR="00863ABD">
        <w:rPr>
          <w:rFonts w:ascii="Times New Roman" w:hAnsi="Times New Roman" w:cs="Times New Roman"/>
          <w:sz w:val="24"/>
          <w:szCs w:val="24"/>
        </w:rPr>
        <w:t xml:space="preserve"> menetlus</w:t>
      </w:r>
      <w:r w:rsidR="001550E4">
        <w:rPr>
          <w:rFonts w:ascii="Times New Roman" w:hAnsi="Times New Roman" w:cs="Times New Roman"/>
          <w:sz w:val="24"/>
          <w:szCs w:val="24"/>
        </w:rPr>
        <w:t>, kui pooled seda taotlevad</w:t>
      </w:r>
      <w:r w:rsidR="00863ABD">
        <w:rPr>
          <w:rFonts w:ascii="Times New Roman" w:hAnsi="Times New Roman" w:cs="Times New Roman"/>
          <w:sz w:val="24"/>
          <w:szCs w:val="24"/>
        </w:rPr>
        <w:t>.</w:t>
      </w:r>
      <w:r w:rsidR="00B606AB">
        <w:rPr>
          <w:rFonts w:ascii="Times New Roman" w:hAnsi="Times New Roman" w:cs="Times New Roman"/>
          <w:sz w:val="24"/>
          <w:szCs w:val="24"/>
        </w:rPr>
        <w:t xml:space="preserve"> </w:t>
      </w:r>
      <w:r w:rsidR="001550E4">
        <w:rPr>
          <w:rFonts w:ascii="Times New Roman" w:hAnsi="Times New Roman" w:cs="Times New Roman"/>
          <w:sz w:val="24"/>
          <w:szCs w:val="24"/>
        </w:rPr>
        <w:t>Leiame</w:t>
      </w:r>
      <w:r w:rsidR="009F1A4E">
        <w:rPr>
          <w:rFonts w:ascii="Times New Roman" w:hAnsi="Times New Roman" w:cs="Times New Roman"/>
          <w:sz w:val="24"/>
          <w:szCs w:val="24"/>
        </w:rPr>
        <w:t xml:space="preserve"> aga</w:t>
      </w:r>
      <w:r w:rsidR="001550E4">
        <w:rPr>
          <w:rFonts w:ascii="Times New Roman" w:hAnsi="Times New Roman" w:cs="Times New Roman"/>
          <w:sz w:val="24"/>
          <w:szCs w:val="24"/>
        </w:rPr>
        <w:t xml:space="preserve">, et seadus ei peaks võimaldama pooltel </w:t>
      </w:r>
      <w:r w:rsidR="00F03A2C">
        <w:rPr>
          <w:rFonts w:ascii="Times New Roman" w:hAnsi="Times New Roman" w:cs="Times New Roman"/>
          <w:sz w:val="24"/>
          <w:szCs w:val="24"/>
        </w:rPr>
        <w:t xml:space="preserve">oma taotlusest taganeda. </w:t>
      </w:r>
      <w:r w:rsidR="00B606AB">
        <w:rPr>
          <w:rFonts w:ascii="Times New Roman" w:hAnsi="Times New Roman" w:cs="Times New Roman"/>
          <w:sz w:val="24"/>
          <w:szCs w:val="24"/>
        </w:rPr>
        <w:t xml:space="preserve">Arvestades, et õiguskantsleri puhul on </w:t>
      </w:r>
      <w:r w:rsidR="000334A4">
        <w:rPr>
          <w:rFonts w:ascii="Times New Roman" w:hAnsi="Times New Roman" w:cs="Times New Roman"/>
          <w:sz w:val="24"/>
          <w:szCs w:val="24"/>
        </w:rPr>
        <w:t>perioodil</w:t>
      </w:r>
      <w:r w:rsidR="00F37032">
        <w:rPr>
          <w:rFonts w:ascii="Times New Roman" w:hAnsi="Times New Roman" w:cs="Times New Roman"/>
          <w:sz w:val="24"/>
          <w:szCs w:val="24"/>
        </w:rPr>
        <w:t xml:space="preserve"> 2004. a </w:t>
      </w:r>
      <w:r w:rsidR="000334A4">
        <w:rPr>
          <w:rFonts w:ascii="Times New Roman" w:hAnsi="Times New Roman" w:cs="Times New Roman"/>
          <w:sz w:val="24"/>
          <w:szCs w:val="24"/>
        </w:rPr>
        <w:t xml:space="preserve">kuni märts 2025 </w:t>
      </w:r>
      <w:r w:rsidR="00B606AB">
        <w:rPr>
          <w:rFonts w:ascii="Times New Roman" w:hAnsi="Times New Roman" w:cs="Times New Roman"/>
          <w:sz w:val="24"/>
          <w:szCs w:val="24"/>
        </w:rPr>
        <w:t xml:space="preserve">viidud </w:t>
      </w:r>
      <w:r w:rsidR="0063090C">
        <w:rPr>
          <w:rFonts w:ascii="Times New Roman" w:hAnsi="Times New Roman" w:cs="Times New Roman"/>
          <w:sz w:val="24"/>
          <w:szCs w:val="24"/>
        </w:rPr>
        <w:t>vaid ühel korral</w:t>
      </w:r>
      <w:r w:rsidR="00435DE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63090C">
        <w:rPr>
          <w:rFonts w:ascii="Times New Roman" w:hAnsi="Times New Roman" w:cs="Times New Roman"/>
          <w:sz w:val="24"/>
          <w:szCs w:val="24"/>
        </w:rPr>
        <w:t xml:space="preserve"> lõpuni </w:t>
      </w:r>
      <w:r w:rsidR="00B606AB">
        <w:rPr>
          <w:rFonts w:ascii="Times New Roman" w:hAnsi="Times New Roman" w:cs="Times New Roman"/>
          <w:sz w:val="24"/>
          <w:szCs w:val="24"/>
        </w:rPr>
        <w:t>lepitusmenetlus</w:t>
      </w:r>
      <w:r w:rsidR="005A2252">
        <w:rPr>
          <w:rFonts w:ascii="Times New Roman" w:hAnsi="Times New Roman" w:cs="Times New Roman"/>
          <w:sz w:val="24"/>
          <w:szCs w:val="24"/>
        </w:rPr>
        <w:t xml:space="preserve">, mis on sarnane kavandatud voliniku siduva arvamuse </w:t>
      </w:r>
      <w:r w:rsidR="006A0697">
        <w:rPr>
          <w:rFonts w:ascii="Times New Roman" w:hAnsi="Times New Roman" w:cs="Times New Roman"/>
          <w:sz w:val="24"/>
          <w:szCs w:val="24"/>
        </w:rPr>
        <w:t>menetlusele</w:t>
      </w:r>
      <w:r w:rsidR="00B606AB">
        <w:rPr>
          <w:rFonts w:ascii="Times New Roman" w:hAnsi="Times New Roman" w:cs="Times New Roman"/>
          <w:sz w:val="24"/>
          <w:szCs w:val="24"/>
        </w:rPr>
        <w:t xml:space="preserve">, </w:t>
      </w:r>
      <w:r w:rsidR="00F03A2C">
        <w:rPr>
          <w:rFonts w:ascii="Times New Roman" w:hAnsi="Times New Roman" w:cs="Times New Roman"/>
          <w:sz w:val="24"/>
          <w:szCs w:val="24"/>
        </w:rPr>
        <w:t>st lepitusmenetlus</w:t>
      </w:r>
      <w:r w:rsidR="005A2252">
        <w:rPr>
          <w:rFonts w:ascii="Times New Roman" w:hAnsi="Times New Roman" w:cs="Times New Roman"/>
          <w:sz w:val="24"/>
          <w:szCs w:val="24"/>
        </w:rPr>
        <w:t>e regulatsioon</w:t>
      </w:r>
      <w:r w:rsidR="00F03A2C">
        <w:rPr>
          <w:rFonts w:ascii="Times New Roman" w:hAnsi="Times New Roman" w:cs="Times New Roman"/>
          <w:sz w:val="24"/>
          <w:szCs w:val="24"/>
        </w:rPr>
        <w:t xml:space="preserve"> ei ole reaalsuses </w:t>
      </w:r>
      <w:r w:rsidR="005A2252">
        <w:rPr>
          <w:rFonts w:ascii="Times New Roman" w:hAnsi="Times New Roman" w:cs="Times New Roman"/>
          <w:sz w:val="24"/>
          <w:szCs w:val="24"/>
        </w:rPr>
        <w:t>rakendunud,</w:t>
      </w:r>
      <w:r w:rsidR="00F03A2C">
        <w:rPr>
          <w:rFonts w:ascii="Times New Roman" w:hAnsi="Times New Roman" w:cs="Times New Roman"/>
          <w:sz w:val="24"/>
          <w:szCs w:val="24"/>
        </w:rPr>
        <w:t xml:space="preserve"> </w:t>
      </w:r>
      <w:r w:rsidR="00B606AB">
        <w:rPr>
          <w:rFonts w:ascii="Times New Roman" w:hAnsi="Times New Roman" w:cs="Times New Roman"/>
          <w:sz w:val="24"/>
          <w:szCs w:val="24"/>
        </w:rPr>
        <w:t>t</w:t>
      </w:r>
      <w:r w:rsidR="00DD66B2" w:rsidRPr="00DB1F57">
        <w:rPr>
          <w:rFonts w:ascii="Times New Roman" w:hAnsi="Times New Roman" w:cs="Times New Roman"/>
          <w:sz w:val="24"/>
          <w:szCs w:val="24"/>
        </w:rPr>
        <w:t xml:space="preserve">eeme ettepaneku loobuda </w:t>
      </w:r>
      <w:r w:rsidR="003B5471">
        <w:rPr>
          <w:rFonts w:ascii="Times New Roman" w:hAnsi="Times New Roman" w:cs="Times New Roman"/>
          <w:sz w:val="24"/>
          <w:szCs w:val="24"/>
        </w:rPr>
        <w:t xml:space="preserve">poolte võimalusest taganeda oma taotlusest siduva arvamuse saamiseks. </w:t>
      </w:r>
      <w:r w:rsidR="006A0697">
        <w:rPr>
          <w:rFonts w:ascii="Times New Roman" w:hAnsi="Times New Roman" w:cs="Times New Roman"/>
          <w:sz w:val="24"/>
          <w:szCs w:val="24"/>
        </w:rPr>
        <w:t xml:space="preserve">Kui eelnõu </w:t>
      </w:r>
      <w:r w:rsidR="006A0697">
        <w:rPr>
          <w:rFonts w:ascii="Times New Roman" w:hAnsi="Times New Roman" w:cs="Times New Roman"/>
          <w:sz w:val="24"/>
          <w:szCs w:val="24"/>
        </w:rPr>
        <w:lastRenderedPageBreak/>
        <w:t>koostaja leiab, et loobumis</w:t>
      </w:r>
      <w:r w:rsidR="00435DE2">
        <w:rPr>
          <w:rFonts w:ascii="Times New Roman" w:hAnsi="Times New Roman" w:cs="Times New Roman"/>
          <w:sz w:val="24"/>
          <w:szCs w:val="24"/>
        </w:rPr>
        <w:t xml:space="preserve">e </w:t>
      </w:r>
      <w:r w:rsidR="006A0697">
        <w:rPr>
          <w:rFonts w:ascii="Times New Roman" w:hAnsi="Times New Roman" w:cs="Times New Roman"/>
          <w:sz w:val="24"/>
          <w:szCs w:val="24"/>
        </w:rPr>
        <w:t xml:space="preserve">võimalus peaks seaduses sisalduma, on võimalik alternatiivselt ka </w:t>
      </w:r>
      <w:r w:rsidR="00DD66B2" w:rsidRPr="00DB1F57">
        <w:rPr>
          <w:rFonts w:ascii="Times New Roman" w:hAnsi="Times New Roman" w:cs="Times New Roman"/>
          <w:sz w:val="24"/>
          <w:szCs w:val="24"/>
        </w:rPr>
        <w:t>täpsustada</w:t>
      </w:r>
      <w:r w:rsidR="006A0697">
        <w:rPr>
          <w:rFonts w:ascii="Times New Roman" w:hAnsi="Times New Roman" w:cs="Times New Roman"/>
          <w:sz w:val="24"/>
          <w:szCs w:val="24"/>
        </w:rPr>
        <w:t>, millise menetlusliku etapini on võimalik taotlusest taganeda</w:t>
      </w:r>
      <w:r w:rsidR="00D34C68">
        <w:rPr>
          <w:rFonts w:ascii="Times New Roman" w:hAnsi="Times New Roman" w:cs="Times New Roman"/>
          <w:sz w:val="24"/>
          <w:szCs w:val="24"/>
        </w:rPr>
        <w:t xml:space="preserve"> (nt menetluse algetapis)</w:t>
      </w:r>
      <w:r w:rsidR="00DD66B2" w:rsidRPr="00DB1F57">
        <w:rPr>
          <w:rFonts w:ascii="Times New Roman" w:hAnsi="Times New Roman" w:cs="Times New Roman"/>
          <w:sz w:val="24"/>
          <w:szCs w:val="24"/>
        </w:rPr>
        <w:t>.</w:t>
      </w:r>
      <w:r w:rsidR="00100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7F791" w14:textId="77777777" w:rsidR="004F6C23" w:rsidRPr="00DB1F57" w:rsidRDefault="004F6C23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AC7C2" w14:textId="6B28ADFD" w:rsidR="006930E2" w:rsidRPr="001F14AA" w:rsidRDefault="00E44B00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4AA">
        <w:rPr>
          <w:rFonts w:ascii="Times New Roman" w:hAnsi="Times New Roman" w:cs="Times New Roman"/>
          <w:b/>
          <w:bCs/>
          <w:sz w:val="24"/>
          <w:szCs w:val="24"/>
        </w:rPr>
        <w:t>Kollektiiv</w:t>
      </w:r>
      <w:r w:rsidR="001F14AA" w:rsidRPr="001F14AA">
        <w:rPr>
          <w:rFonts w:ascii="Times New Roman" w:hAnsi="Times New Roman" w:cs="Times New Roman"/>
          <w:b/>
          <w:bCs/>
          <w:sz w:val="24"/>
          <w:szCs w:val="24"/>
        </w:rPr>
        <w:t>sete huvide kaitse</w:t>
      </w:r>
    </w:p>
    <w:p w14:paraId="278DAFAC" w14:textId="77777777" w:rsidR="008E4AB0" w:rsidRDefault="001F14AA" w:rsidP="00D27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Seletuskirjas on </w:t>
      </w:r>
      <w:r w:rsidR="00FC334D">
        <w:rPr>
          <w:rFonts w:ascii="Times New Roman" w:hAnsi="Times New Roman" w:cs="Times New Roman"/>
          <w:sz w:val="24"/>
          <w:szCs w:val="24"/>
        </w:rPr>
        <w:t>sedastatud, et v</w:t>
      </w:r>
      <w:r w:rsidR="00E44B00" w:rsidRPr="00E44B00">
        <w:rPr>
          <w:rFonts w:ascii="Times New Roman" w:hAnsi="Times New Roman" w:cs="Times New Roman"/>
          <w:sz w:val="24"/>
          <w:szCs w:val="24"/>
        </w:rPr>
        <w:t>olinik on avaldanud soovi saada õiguse pöörduda Eesti Vabariigi nimel hagiga kohtusse diskrimineeritud isikute kollektiivseid huve kahjustava tegevuse lõpetamiseks, sellisest tegevusest hoidumiseks ning tehtud kahju hüvitamiseks</w:t>
      </w:r>
      <w:r w:rsidR="00FC334D">
        <w:rPr>
          <w:rFonts w:ascii="Times New Roman" w:hAnsi="Times New Roman" w:cs="Times New Roman"/>
          <w:sz w:val="24"/>
          <w:szCs w:val="24"/>
        </w:rPr>
        <w:t>. Toetame voliniku sellist ettepanekut.</w:t>
      </w:r>
      <w:r w:rsidR="00685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45F11" w14:textId="77777777" w:rsidR="008E4AB0" w:rsidRDefault="00685786" w:rsidP="00D27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Euroopa </w:t>
      </w:r>
      <w:r w:rsidR="000D6CA8">
        <w:rPr>
          <w:rFonts w:ascii="Times New Roman" w:hAnsi="Times New Roman" w:cs="Times New Roman"/>
          <w:sz w:val="24"/>
          <w:szCs w:val="24"/>
        </w:rPr>
        <w:t xml:space="preserve">soolise </w:t>
      </w:r>
      <w:r>
        <w:rPr>
          <w:rFonts w:ascii="Times New Roman" w:hAnsi="Times New Roman" w:cs="Times New Roman"/>
          <w:sz w:val="24"/>
          <w:szCs w:val="24"/>
        </w:rPr>
        <w:t>võrd</w:t>
      </w:r>
      <w:r w:rsidR="000D6CA8">
        <w:rPr>
          <w:rFonts w:ascii="Times New Roman" w:hAnsi="Times New Roman" w:cs="Times New Roman"/>
          <w:sz w:val="24"/>
          <w:szCs w:val="24"/>
        </w:rPr>
        <w:t>suse ja võrdse kohtlemise õigus</w:t>
      </w:r>
      <w:r>
        <w:rPr>
          <w:rFonts w:ascii="Times New Roman" w:hAnsi="Times New Roman" w:cs="Times New Roman"/>
          <w:sz w:val="24"/>
          <w:szCs w:val="24"/>
        </w:rPr>
        <w:t>ekspertide võrgustik on soovitanud soolise võrdsuse</w:t>
      </w:r>
      <w:r w:rsidR="007A5E70">
        <w:rPr>
          <w:rFonts w:ascii="Times New Roman" w:hAnsi="Times New Roman" w:cs="Times New Roman"/>
          <w:sz w:val="24"/>
          <w:szCs w:val="24"/>
        </w:rPr>
        <w:t xml:space="preserve"> valdkonnas strateegilise hagelemise võimaldamiseks </w:t>
      </w:r>
      <w:r w:rsidR="00497DF3" w:rsidRPr="002807FC">
        <w:rPr>
          <w:rFonts w:ascii="Times New Roman" w:hAnsi="Times New Roman" w:cs="Times New Roman"/>
          <w:i/>
          <w:iCs/>
          <w:sz w:val="24"/>
          <w:szCs w:val="24"/>
        </w:rPr>
        <w:t>actio popularis</w:t>
      </w:r>
      <w:r w:rsidR="00497DF3" w:rsidRPr="00497DF3">
        <w:rPr>
          <w:rFonts w:ascii="Times New Roman" w:hAnsi="Times New Roman" w:cs="Times New Roman"/>
          <w:sz w:val="24"/>
          <w:szCs w:val="24"/>
        </w:rPr>
        <w:t xml:space="preserve"> </w:t>
      </w:r>
      <w:r w:rsidR="002807FC">
        <w:rPr>
          <w:rFonts w:ascii="Times New Roman" w:hAnsi="Times New Roman" w:cs="Times New Roman"/>
          <w:sz w:val="24"/>
          <w:szCs w:val="24"/>
        </w:rPr>
        <w:t xml:space="preserve">tüüpi nõudeõigust ja kollektiivset </w:t>
      </w:r>
      <w:r w:rsidR="00196CE1">
        <w:rPr>
          <w:rFonts w:ascii="Times New Roman" w:hAnsi="Times New Roman" w:cs="Times New Roman"/>
          <w:sz w:val="24"/>
          <w:szCs w:val="24"/>
        </w:rPr>
        <w:t>huvide kaitset</w:t>
      </w:r>
      <w:r w:rsidR="00497DF3" w:rsidRPr="00497DF3">
        <w:rPr>
          <w:rFonts w:ascii="Times New Roman" w:hAnsi="Times New Roman" w:cs="Times New Roman"/>
          <w:sz w:val="24"/>
          <w:szCs w:val="24"/>
        </w:rPr>
        <w:t>.</w:t>
      </w:r>
      <w:r w:rsidR="0031222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7A5E70">
        <w:rPr>
          <w:rFonts w:ascii="Times New Roman" w:hAnsi="Times New Roman" w:cs="Times New Roman"/>
          <w:sz w:val="24"/>
          <w:szCs w:val="24"/>
        </w:rPr>
        <w:t xml:space="preserve"> </w:t>
      </w:r>
      <w:r w:rsidR="001C4846">
        <w:rPr>
          <w:rFonts w:ascii="Times New Roman" w:hAnsi="Times New Roman" w:cs="Times New Roman"/>
          <w:sz w:val="24"/>
          <w:szCs w:val="24"/>
        </w:rPr>
        <w:t xml:space="preserve">Sama võrgustik on teisal selgitanud, et </w:t>
      </w:r>
      <w:r w:rsidR="001C4846" w:rsidRPr="001C4846">
        <w:rPr>
          <w:rFonts w:ascii="Times New Roman" w:hAnsi="Times New Roman" w:cs="Times New Roman"/>
          <w:i/>
          <w:iCs/>
          <w:sz w:val="24"/>
          <w:szCs w:val="24"/>
        </w:rPr>
        <w:t>actio popularis</w:t>
      </w:r>
      <w:r w:rsidR="001C4846" w:rsidRPr="001C4846">
        <w:rPr>
          <w:rFonts w:ascii="Times New Roman" w:hAnsi="Times New Roman" w:cs="Times New Roman"/>
          <w:sz w:val="24"/>
          <w:szCs w:val="24"/>
        </w:rPr>
        <w:t xml:space="preserve"> </w:t>
      </w:r>
      <w:r w:rsidR="0009464B">
        <w:rPr>
          <w:rFonts w:ascii="Times New Roman" w:hAnsi="Times New Roman" w:cs="Times New Roman"/>
          <w:sz w:val="24"/>
          <w:szCs w:val="24"/>
        </w:rPr>
        <w:t xml:space="preserve">on väga kasulik vahend, mis lubab asutustel tegutseda enda nimel avalikkuse huvides ilma et </w:t>
      </w:r>
      <w:r w:rsidR="00450E72">
        <w:rPr>
          <w:rFonts w:ascii="Times New Roman" w:hAnsi="Times New Roman" w:cs="Times New Roman"/>
          <w:sz w:val="24"/>
          <w:szCs w:val="24"/>
        </w:rPr>
        <w:t>kindlaks oleks tehtud konkreetne ohver, keda esindada</w:t>
      </w:r>
      <w:r w:rsidR="001C4846" w:rsidRPr="001C4846">
        <w:rPr>
          <w:rFonts w:ascii="Times New Roman" w:hAnsi="Times New Roman" w:cs="Times New Roman"/>
          <w:sz w:val="24"/>
          <w:szCs w:val="24"/>
        </w:rPr>
        <w:t>.</w:t>
      </w:r>
      <w:r w:rsidR="00450E72">
        <w:rPr>
          <w:rFonts w:ascii="Times New Roman" w:hAnsi="Times New Roman" w:cs="Times New Roman"/>
          <w:sz w:val="24"/>
          <w:szCs w:val="24"/>
        </w:rPr>
        <w:t xml:space="preserve"> </w:t>
      </w:r>
      <w:r w:rsidR="00AE032D">
        <w:rPr>
          <w:rFonts w:ascii="Times New Roman" w:hAnsi="Times New Roman" w:cs="Times New Roman"/>
          <w:sz w:val="24"/>
          <w:szCs w:val="24"/>
        </w:rPr>
        <w:t>EL-i</w:t>
      </w:r>
      <w:r w:rsidR="00CE05B2">
        <w:rPr>
          <w:rFonts w:ascii="Times New Roman" w:hAnsi="Times New Roman" w:cs="Times New Roman"/>
          <w:sz w:val="24"/>
          <w:szCs w:val="24"/>
        </w:rPr>
        <w:t>s</w:t>
      </w:r>
      <w:r w:rsidR="00AE032D">
        <w:rPr>
          <w:rFonts w:ascii="Times New Roman" w:hAnsi="Times New Roman" w:cs="Times New Roman"/>
          <w:sz w:val="24"/>
          <w:szCs w:val="24"/>
        </w:rPr>
        <w:t xml:space="preserve"> on </w:t>
      </w:r>
      <w:r w:rsidR="00D271D0">
        <w:rPr>
          <w:rFonts w:ascii="Times New Roman" w:hAnsi="Times New Roman" w:cs="Times New Roman"/>
          <w:sz w:val="24"/>
          <w:szCs w:val="24"/>
        </w:rPr>
        <w:t xml:space="preserve">2024. aasta </w:t>
      </w:r>
      <w:r w:rsidR="006D3BAF">
        <w:rPr>
          <w:rFonts w:ascii="Times New Roman" w:hAnsi="Times New Roman" w:cs="Times New Roman"/>
          <w:sz w:val="24"/>
          <w:szCs w:val="24"/>
        </w:rPr>
        <w:t xml:space="preserve">detsembri </w:t>
      </w:r>
      <w:r w:rsidR="00D271D0">
        <w:rPr>
          <w:rFonts w:ascii="Times New Roman" w:hAnsi="Times New Roman" w:cs="Times New Roman"/>
          <w:sz w:val="24"/>
          <w:szCs w:val="24"/>
        </w:rPr>
        <w:t>seisuga kollektiiv</w:t>
      </w:r>
      <w:r w:rsidR="00CE05B2">
        <w:rPr>
          <w:rFonts w:ascii="Times New Roman" w:hAnsi="Times New Roman" w:cs="Times New Roman"/>
          <w:sz w:val="24"/>
          <w:szCs w:val="24"/>
        </w:rPr>
        <w:t>s</w:t>
      </w:r>
      <w:r w:rsidR="00D271D0">
        <w:rPr>
          <w:rFonts w:ascii="Times New Roman" w:hAnsi="Times New Roman" w:cs="Times New Roman"/>
          <w:sz w:val="24"/>
          <w:szCs w:val="24"/>
        </w:rPr>
        <w:t xml:space="preserve">e esindushagi </w:t>
      </w:r>
      <w:r w:rsidR="00951DF7">
        <w:rPr>
          <w:rFonts w:ascii="Times New Roman" w:hAnsi="Times New Roman" w:cs="Times New Roman"/>
          <w:sz w:val="24"/>
          <w:szCs w:val="24"/>
        </w:rPr>
        <w:t xml:space="preserve">esitamise võimalus </w:t>
      </w:r>
      <w:r w:rsidR="002F275C">
        <w:rPr>
          <w:rFonts w:ascii="Times New Roman" w:hAnsi="Times New Roman" w:cs="Times New Roman"/>
          <w:sz w:val="24"/>
          <w:szCs w:val="24"/>
        </w:rPr>
        <w:t xml:space="preserve">diskrimineerimise asjades </w:t>
      </w:r>
      <w:r w:rsidR="00CE05B2">
        <w:rPr>
          <w:rFonts w:ascii="Times New Roman" w:hAnsi="Times New Roman" w:cs="Times New Roman"/>
          <w:sz w:val="24"/>
          <w:szCs w:val="24"/>
        </w:rPr>
        <w:t xml:space="preserve">lubatud </w:t>
      </w:r>
      <w:r w:rsidR="00D271D0">
        <w:rPr>
          <w:rFonts w:ascii="Times New Roman" w:hAnsi="Times New Roman" w:cs="Times New Roman"/>
          <w:sz w:val="24"/>
          <w:szCs w:val="24"/>
        </w:rPr>
        <w:t xml:space="preserve">15 liikmesriigis: </w:t>
      </w:r>
      <w:r w:rsidR="00D271D0" w:rsidRPr="00D271D0">
        <w:rPr>
          <w:rFonts w:ascii="Times New Roman" w:hAnsi="Times New Roman" w:cs="Times New Roman"/>
          <w:sz w:val="24"/>
          <w:szCs w:val="24"/>
        </w:rPr>
        <w:t>Austria</w:t>
      </w:r>
      <w:r w:rsidR="00D271D0">
        <w:rPr>
          <w:rFonts w:ascii="Times New Roman" w:hAnsi="Times New Roman" w:cs="Times New Roman"/>
          <w:sz w:val="24"/>
          <w:szCs w:val="24"/>
        </w:rPr>
        <w:t xml:space="preserve">s, </w:t>
      </w:r>
      <w:r w:rsidR="00D271D0" w:rsidRPr="00D271D0">
        <w:rPr>
          <w:rFonts w:ascii="Times New Roman" w:hAnsi="Times New Roman" w:cs="Times New Roman"/>
          <w:sz w:val="24"/>
          <w:szCs w:val="24"/>
        </w:rPr>
        <w:t>Belgi</w:t>
      </w:r>
      <w:r w:rsidR="00D271D0">
        <w:rPr>
          <w:rFonts w:ascii="Times New Roman" w:hAnsi="Times New Roman" w:cs="Times New Roman"/>
          <w:sz w:val="24"/>
          <w:szCs w:val="24"/>
        </w:rPr>
        <w:t xml:space="preserve">as, </w:t>
      </w:r>
      <w:r w:rsidR="00D271D0" w:rsidRPr="00D271D0">
        <w:rPr>
          <w:rFonts w:ascii="Times New Roman" w:hAnsi="Times New Roman" w:cs="Times New Roman"/>
          <w:sz w:val="24"/>
          <w:szCs w:val="24"/>
        </w:rPr>
        <w:t>Bulga</w:t>
      </w:r>
      <w:r w:rsidR="00D271D0">
        <w:rPr>
          <w:rFonts w:ascii="Times New Roman" w:hAnsi="Times New Roman" w:cs="Times New Roman"/>
          <w:sz w:val="24"/>
          <w:szCs w:val="24"/>
        </w:rPr>
        <w:t>a</w:t>
      </w:r>
      <w:r w:rsidR="00D271D0" w:rsidRPr="00D271D0">
        <w:rPr>
          <w:rFonts w:ascii="Times New Roman" w:hAnsi="Times New Roman" w:cs="Times New Roman"/>
          <w:sz w:val="24"/>
          <w:szCs w:val="24"/>
        </w:rPr>
        <w:t>ria</w:t>
      </w:r>
      <w:r w:rsidR="00D271D0">
        <w:rPr>
          <w:rFonts w:ascii="Times New Roman" w:hAnsi="Times New Roman" w:cs="Times New Roman"/>
          <w:sz w:val="24"/>
          <w:szCs w:val="24"/>
        </w:rPr>
        <w:t>s</w:t>
      </w:r>
      <w:r w:rsidR="00D271D0" w:rsidRPr="00D271D0">
        <w:rPr>
          <w:rFonts w:ascii="Times New Roman" w:hAnsi="Times New Roman" w:cs="Times New Roman"/>
          <w:sz w:val="24"/>
          <w:szCs w:val="24"/>
        </w:rPr>
        <w:t xml:space="preserve">, </w:t>
      </w:r>
      <w:r w:rsidR="00D44166">
        <w:rPr>
          <w:rFonts w:ascii="Times New Roman" w:hAnsi="Times New Roman" w:cs="Times New Roman"/>
          <w:sz w:val="24"/>
          <w:szCs w:val="24"/>
        </w:rPr>
        <w:t xml:space="preserve">Hispaanias, </w:t>
      </w:r>
      <w:r w:rsidR="00D271D0">
        <w:rPr>
          <w:rFonts w:ascii="Times New Roman" w:hAnsi="Times New Roman" w:cs="Times New Roman"/>
          <w:sz w:val="24"/>
          <w:szCs w:val="24"/>
        </w:rPr>
        <w:t xml:space="preserve">Horvaatias, Itaalias, </w:t>
      </w:r>
      <w:r w:rsidR="000F70E1">
        <w:rPr>
          <w:rFonts w:ascii="Times New Roman" w:hAnsi="Times New Roman" w:cs="Times New Roman"/>
          <w:sz w:val="24"/>
          <w:szCs w:val="24"/>
        </w:rPr>
        <w:t xml:space="preserve">Luksemburgis, Madalmaades, Maltal, </w:t>
      </w:r>
      <w:r w:rsidR="00D44166">
        <w:rPr>
          <w:rFonts w:ascii="Times New Roman" w:hAnsi="Times New Roman" w:cs="Times New Roman"/>
          <w:sz w:val="24"/>
          <w:szCs w:val="24"/>
        </w:rPr>
        <w:t xml:space="preserve">Portugalis, </w:t>
      </w:r>
      <w:r w:rsidR="00D271D0">
        <w:rPr>
          <w:rFonts w:ascii="Times New Roman" w:hAnsi="Times New Roman" w:cs="Times New Roman"/>
          <w:sz w:val="24"/>
          <w:szCs w:val="24"/>
        </w:rPr>
        <w:t xml:space="preserve">Prantsusmaal, </w:t>
      </w:r>
      <w:r w:rsidR="00D44166">
        <w:rPr>
          <w:rFonts w:ascii="Times New Roman" w:hAnsi="Times New Roman" w:cs="Times New Roman"/>
          <w:sz w:val="24"/>
          <w:szCs w:val="24"/>
        </w:rPr>
        <w:t xml:space="preserve">Rumeenias, </w:t>
      </w:r>
      <w:r w:rsidR="00D271D0">
        <w:rPr>
          <w:rFonts w:ascii="Times New Roman" w:hAnsi="Times New Roman" w:cs="Times New Roman"/>
          <w:sz w:val="24"/>
          <w:szCs w:val="24"/>
        </w:rPr>
        <w:t xml:space="preserve">Saksamaal, </w:t>
      </w:r>
      <w:r w:rsidR="00D44166">
        <w:rPr>
          <w:rFonts w:ascii="Times New Roman" w:hAnsi="Times New Roman" w:cs="Times New Roman"/>
          <w:sz w:val="24"/>
          <w:szCs w:val="24"/>
        </w:rPr>
        <w:t xml:space="preserve">Slovakkias ja </w:t>
      </w:r>
      <w:r w:rsidR="00D271D0">
        <w:rPr>
          <w:rFonts w:ascii="Times New Roman" w:hAnsi="Times New Roman" w:cs="Times New Roman"/>
          <w:sz w:val="24"/>
          <w:szCs w:val="24"/>
        </w:rPr>
        <w:t>Ungaris</w:t>
      </w:r>
      <w:r w:rsidR="00D44166">
        <w:rPr>
          <w:rFonts w:ascii="Times New Roman" w:hAnsi="Times New Roman" w:cs="Times New Roman"/>
          <w:sz w:val="24"/>
          <w:szCs w:val="24"/>
        </w:rPr>
        <w:t>.</w:t>
      </w:r>
      <w:r w:rsidR="005034C6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FA72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92C90" w14:textId="2E3008E5" w:rsidR="00E44B00" w:rsidRDefault="00FA72F5" w:rsidP="00D27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Võrdõigusasutuste</w:t>
      </w:r>
      <w:r w:rsidR="001B0662">
        <w:rPr>
          <w:rFonts w:ascii="Times New Roman" w:hAnsi="Times New Roman" w:cs="Times New Roman"/>
          <w:sz w:val="24"/>
          <w:szCs w:val="24"/>
        </w:rPr>
        <w:t xml:space="preserve"> Euroopa </w:t>
      </w:r>
      <w:r w:rsidR="00436EF4">
        <w:rPr>
          <w:rFonts w:ascii="Times New Roman" w:hAnsi="Times New Roman" w:cs="Times New Roman"/>
          <w:sz w:val="24"/>
          <w:szCs w:val="24"/>
        </w:rPr>
        <w:t>V</w:t>
      </w:r>
      <w:r w:rsidR="001B0662">
        <w:rPr>
          <w:rFonts w:ascii="Times New Roman" w:hAnsi="Times New Roman" w:cs="Times New Roman"/>
          <w:sz w:val="24"/>
          <w:szCs w:val="24"/>
        </w:rPr>
        <w:t>õrgustik E</w:t>
      </w:r>
      <w:r w:rsidR="008E4AB0">
        <w:rPr>
          <w:rFonts w:ascii="Times New Roman" w:hAnsi="Times New Roman" w:cs="Times New Roman"/>
          <w:sz w:val="24"/>
          <w:szCs w:val="24"/>
        </w:rPr>
        <w:t>quinet</w:t>
      </w:r>
      <w:r w:rsidR="001B0662">
        <w:rPr>
          <w:rFonts w:ascii="Times New Roman" w:hAnsi="Times New Roman" w:cs="Times New Roman"/>
          <w:sz w:val="24"/>
          <w:szCs w:val="24"/>
        </w:rPr>
        <w:t xml:space="preserve"> on koostanud ülevaate võrdõigusasutustest, kes kasutavad oma töös </w:t>
      </w:r>
      <w:r w:rsidR="001B0662" w:rsidRPr="00436EF4">
        <w:rPr>
          <w:rFonts w:ascii="Times New Roman" w:hAnsi="Times New Roman" w:cs="Times New Roman"/>
          <w:i/>
          <w:iCs/>
          <w:sz w:val="24"/>
          <w:szCs w:val="24"/>
        </w:rPr>
        <w:t>actio popularist</w:t>
      </w:r>
      <w:r w:rsidR="009C3C24">
        <w:rPr>
          <w:rFonts w:ascii="Times New Roman" w:hAnsi="Times New Roman" w:cs="Times New Roman"/>
          <w:sz w:val="24"/>
          <w:szCs w:val="24"/>
        </w:rPr>
        <w:t xml:space="preserve"> ning leidnud, et on terve rida elulisi situatsioone, milles </w:t>
      </w:r>
      <w:r w:rsidR="004341B3">
        <w:rPr>
          <w:rFonts w:ascii="Times New Roman" w:hAnsi="Times New Roman" w:cs="Times New Roman"/>
          <w:sz w:val="24"/>
          <w:szCs w:val="24"/>
        </w:rPr>
        <w:t xml:space="preserve">diskrimineerimise vastu saab tulemuslikult astuda just </w:t>
      </w:r>
      <w:r w:rsidR="004341B3" w:rsidRPr="00436EF4">
        <w:rPr>
          <w:rFonts w:ascii="Times New Roman" w:hAnsi="Times New Roman" w:cs="Times New Roman"/>
          <w:i/>
          <w:iCs/>
          <w:sz w:val="24"/>
          <w:szCs w:val="24"/>
        </w:rPr>
        <w:t>actio popularis</w:t>
      </w:r>
      <w:r w:rsidR="004341B3">
        <w:rPr>
          <w:rFonts w:ascii="Times New Roman" w:hAnsi="Times New Roman" w:cs="Times New Roman"/>
          <w:sz w:val="24"/>
          <w:szCs w:val="24"/>
        </w:rPr>
        <w:t xml:space="preserve"> abil</w:t>
      </w:r>
      <w:r w:rsidR="00CE3871">
        <w:rPr>
          <w:rFonts w:ascii="Times New Roman" w:hAnsi="Times New Roman" w:cs="Times New Roman"/>
          <w:sz w:val="24"/>
          <w:szCs w:val="24"/>
        </w:rPr>
        <w:t>, näiteks diskrimineerivate töökuulutuste</w:t>
      </w:r>
      <w:r w:rsidR="00F01B16">
        <w:rPr>
          <w:rFonts w:ascii="Times New Roman" w:hAnsi="Times New Roman" w:cs="Times New Roman"/>
          <w:sz w:val="24"/>
          <w:szCs w:val="24"/>
        </w:rPr>
        <w:t xml:space="preserve"> või värbamise kohta tehtud diskrimineerivate väljaütlemiste</w:t>
      </w:r>
      <w:r w:rsidR="00CE3871">
        <w:rPr>
          <w:rFonts w:ascii="Times New Roman" w:hAnsi="Times New Roman" w:cs="Times New Roman"/>
          <w:sz w:val="24"/>
          <w:szCs w:val="24"/>
        </w:rPr>
        <w:t xml:space="preserve">, </w:t>
      </w:r>
      <w:r w:rsidR="00436EF4">
        <w:rPr>
          <w:rFonts w:ascii="Times New Roman" w:hAnsi="Times New Roman" w:cs="Times New Roman"/>
          <w:sz w:val="24"/>
          <w:szCs w:val="24"/>
        </w:rPr>
        <w:t xml:space="preserve">samuti </w:t>
      </w:r>
      <w:r w:rsidR="00831A12">
        <w:rPr>
          <w:rFonts w:ascii="Times New Roman" w:hAnsi="Times New Roman" w:cs="Times New Roman"/>
          <w:sz w:val="24"/>
          <w:szCs w:val="24"/>
        </w:rPr>
        <w:t xml:space="preserve">diskrimineerivate algoritmide </w:t>
      </w:r>
      <w:r w:rsidR="003D3102">
        <w:rPr>
          <w:rFonts w:ascii="Times New Roman" w:hAnsi="Times New Roman" w:cs="Times New Roman"/>
          <w:sz w:val="24"/>
          <w:szCs w:val="24"/>
        </w:rPr>
        <w:t>puhul</w:t>
      </w:r>
      <w:r w:rsidR="001B0662">
        <w:rPr>
          <w:rFonts w:ascii="Times New Roman" w:hAnsi="Times New Roman" w:cs="Times New Roman"/>
          <w:sz w:val="24"/>
          <w:szCs w:val="24"/>
        </w:rPr>
        <w:t>.</w:t>
      </w:r>
      <w:r w:rsidR="001B0662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4C37A" w14:textId="70AAE4F6" w:rsidR="00FC334D" w:rsidRDefault="008F05F0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Lisaks seletuskirjas toodud ülevaatele </w:t>
      </w:r>
      <w:r w:rsidR="009B2A3C">
        <w:rPr>
          <w:rFonts w:ascii="Times New Roman" w:hAnsi="Times New Roman" w:cs="Times New Roman"/>
          <w:sz w:val="24"/>
          <w:szCs w:val="24"/>
        </w:rPr>
        <w:t>viitame käesoleva aasta 1. jaanuaril jõustunud tsiviilkohtu</w:t>
      </w:r>
      <w:r w:rsidR="000D0611">
        <w:rPr>
          <w:rFonts w:ascii="Times New Roman" w:hAnsi="Times New Roman" w:cs="Times New Roman"/>
          <w:sz w:val="24"/>
          <w:szCs w:val="24"/>
        </w:rPr>
        <w:t xml:space="preserve">menetluse seadustiku muudatustele, eelkõige </w:t>
      </w:r>
      <w:r w:rsidR="009B2A3C" w:rsidRPr="009B2A3C">
        <w:rPr>
          <w:rFonts w:ascii="Times New Roman" w:hAnsi="Times New Roman" w:cs="Times New Roman"/>
          <w:sz w:val="24"/>
          <w:szCs w:val="24"/>
        </w:rPr>
        <w:t>49</w:t>
      </w:r>
      <w:r w:rsidR="000D0611">
        <w:rPr>
          <w:rFonts w:ascii="Times New Roman" w:hAnsi="Times New Roman" w:cs="Times New Roman"/>
          <w:sz w:val="24"/>
          <w:szCs w:val="24"/>
        </w:rPr>
        <w:t>¹</w:t>
      </w:r>
      <w:r w:rsidR="009B2A3C" w:rsidRPr="009B2A3C">
        <w:rPr>
          <w:rFonts w:ascii="Times New Roman" w:hAnsi="Times New Roman" w:cs="Times New Roman"/>
          <w:sz w:val="24"/>
          <w:szCs w:val="24"/>
        </w:rPr>
        <w:t>. peatük</w:t>
      </w:r>
      <w:r w:rsidR="000D0611">
        <w:rPr>
          <w:rFonts w:ascii="Times New Roman" w:hAnsi="Times New Roman" w:cs="Times New Roman"/>
          <w:sz w:val="24"/>
          <w:szCs w:val="24"/>
        </w:rPr>
        <w:t>ile „Kollektiivsed esindushagid“,</w:t>
      </w:r>
      <w:r w:rsidR="004C1D81">
        <w:rPr>
          <w:rFonts w:ascii="Times New Roman" w:hAnsi="Times New Roman" w:cs="Times New Roman"/>
          <w:sz w:val="24"/>
          <w:szCs w:val="24"/>
        </w:rPr>
        <w:t xml:space="preserve"> mille järgi on </w:t>
      </w:r>
      <w:r w:rsidR="004C1D81" w:rsidRPr="004C1D81">
        <w:rPr>
          <w:rFonts w:ascii="Times New Roman" w:hAnsi="Times New Roman" w:cs="Times New Roman"/>
          <w:sz w:val="24"/>
          <w:szCs w:val="24"/>
        </w:rPr>
        <w:t>kollektiivse esindushagi menetlust võimalik kasutada juhtudel, kus ettevõtjapoolne õigusnormide rikkumine on kahjustanud või võib kahjustada võlaõigusseaduse tähenduses tarbijate või isikuandmete kaitse seaduse tähenduses andmesubjektide kollektiivseid huve.</w:t>
      </w:r>
      <w:r w:rsidR="007368D1">
        <w:rPr>
          <w:rFonts w:ascii="Times New Roman" w:hAnsi="Times New Roman" w:cs="Times New Roman"/>
          <w:sz w:val="24"/>
          <w:szCs w:val="24"/>
        </w:rPr>
        <w:t xml:space="preserve"> </w:t>
      </w:r>
      <w:r w:rsidR="000D0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8F280" w14:textId="77777777" w:rsidR="004F6C23" w:rsidRPr="00DB1F57" w:rsidRDefault="004F6C23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49247" w14:textId="77777777" w:rsidR="00C10F0C" w:rsidRDefault="00C10F0C" w:rsidP="00DB1F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F0C">
        <w:rPr>
          <w:rFonts w:ascii="Times New Roman" w:hAnsi="Times New Roman" w:cs="Times New Roman"/>
          <w:b/>
          <w:bCs/>
          <w:sz w:val="24"/>
          <w:szCs w:val="24"/>
        </w:rPr>
        <w:t>§ 2. Avaliku teenistuse seaduse muutmine</w:t>
      </w:r>
    </w:p>
    <w:p w14:paraId="6C630577" w14:textId="5BB1319E" w:rsidR="00B570B0" w:rsidRPr="00DB1F57" w:rsidRDefault="00C10F0C" w:rsidP="00B570B0">
      <w:pPr>
        <w:jc w:val="both"/>
        <w:rPr>
          <w:rFonts w:ascii="Times New Roman" w:hAnsi="Times New Roman" w:cs="Times New Roman"/>
          <w:sz w:val="24"/>
          <w:szCs w:val="24"/>
        </w:rPr>
      </w:pPr>
      <w:r w:rsidRPr="00C10F0C">
        <w:rPr>
          <w:rFonts w:ascii="Times New Roman" w:hAnsi="Times New Roman" w:cs="Times New Roman"/>
          <w:sz w:val="24"/>
          <w:szCs w:val="24"/>
        </w:rPr>
        <w:t xml:space="preserve">Teeme ettepaneku </w:t>
      </w:r>
      <w:r w:rsidR="00360B9D">
        <w:rPr>
          <w:rFonts w:ascii="Times New Roman" w:hAnsi="Times New Roman" w:cs="Times New Roman"/>
          <w:sz w:val="24"/>
          <w:szCs w:val="24"/>
        </w:rPr>
        <w:t xml:space="preserve">lisada avaliku teenistuse seadusesse säte, mis </w:t>
      </w:r>
      <w:r w:rsidR="00111777">
        <w:rPr>
          <w:rFonts w:ascii="Times New Roman" w:hAnsi="Times New Roman" w:cs="Times New Roman"/>
          <w:sz w:val="24"/>
          <w:szCs w:val="24"/>
        </w:rPr>
        <w:t xml:space="preserve">peataks </w:t>
      </w:r>
      <w:r w:rsidR="00360B9D">
        <w:rPr>
          <w:rFonts w:ascii="Times New Roman" w:hAnsi="Times New Roman" w:cs="Times New Roman"/>
          <w:sz w:val="24"/>
          <w:szCs w:val="24"/>
        </w:rPr>
        <w:t xml:space="preserve">võrdõigusvoliniku </w:t>
      </w:r>
      <w:r w:rsidR="00847FD4">
        <w:rPr>
          <w:rFonts w:ascii="Times New Roman" w:hAnsi="Times New Roman" w:cs="Times New Roman"/>
          <w:sz w:val="24"/>
          <w:szCs w:val="24"/>
        </w:rPr>
        <w:t>ametiaja kulgemi</w:t>
      </w:r>
      <w:r w:rsidR="00111777">
        <w:rPr>
          <w:rFonts w:ascii="Times New Roman" w:hAnsi="Times New Roman" w:cs="Times New Roman"/>
          <w:sz w:val="24"/>
          <w:szCs w:val="24"/>
        </w:rPr>
        <w:t xml:space="preserve">se </w:t>
      </w:r>
      <w:r w:rsidR="00847FD4">
        <w:rPr>
          <w:rFonts w:ascii="Times New Roman" w:hAnsi="Times New Roman" w:cs="Times New Roman"/>
          <w:sz w:val="24"/>
          <w:szCs w:val="24"/>
        </w:rPr>
        <w:t xml:space="preserve">ajaks, kui ta </w:t>
      </w:r>
      <w:r w:rsidR="00847FD4" w:rsidRPr="00DB1F57">
        <w:rPr>
          <w:rFonts w:ascii="Times New Roman" w:hAnsi="Times New Roman" w:cs="Times New Roman"/>
          <w:sz w:val="24"/>
          <w:szCs w:val="24"/>
        </w:rPr>
        <w:t xml:space="preserve">viibib emapuhkusel, isapuhkusel, lapsendajapuhkusel või </w:t>
      </w:r>
      <w:r w:rsidR="00847FD4" w:rsidRPr="00DB1F57">
        <w:rPr>
          <w:rFonts w:ascii="Times New Roman" w:hAnsi="Times New Roman" w:cs="Times New Roman"/>
          <w:sz w:val="24"/>
          <w:szCs w:val="24"/>
        </w:rPr>
        <w:lastRenderedPageBreak/>
        <w:t>vanemapuhkusel</w:t>
      </w:r>
      <w:r w:rsidR="000347D2">
        <w:rPr>
          <w:rFonts w:ascii="Times New Roman" w:hAnsi="Times New Roman" w:cs="Times New Roman"/>
          <w:sz w:val="24"/>
          <w:szCs w:val="24"/>
        </w:rPr>
        <w:t xml:space="preserve"> sarnaselt ATS </w:t>
      </w:r>
      <w:r w:rsidR="000347D2" w:rsidRPr="000347D2">
        <w:rPr>
          <w:rFonts w:ascii="Times New Roman" w:hAnsi="Times New Roman" w:cs="Times New Roman"/>
          <w:sz w:val="24"/>
          <w:szCs w:val="24"/>
        </w:rPr>
        <w:t>§ 23</w:t>
      </w:r>
      <w:r w:rsidR="000347D2">
        <w:rPr>
          <w:rFonts w:ascii="Times New Roman" w:hAnsi="Times New Roman" w:cs="Times New Roman"/>
          <w:sz w:val="24"/>
          <w:szCs w:val="24"/>
        </w:rPr>
        <w:t xml:space="preserve"> lõikega 4, mis anna</w:t>
      </w:r>
      <w:r w:rsidR="00AB718F">
        <w:rPr>
          <w:rFonts w:ascii="Times New Roman" w:hAnsi="Times New Roman" w:cs="Times New Roman"/>
          <w:sz w:val="24"/>
          <w:szCs w:val="24"/>
        </w:rPr>
        <w:t xml:space="preserve">b sellise </w:t>
      </w:r>
      <w:r w:rsidR="00167228">
        <w:rPr>
          <w:rFonts w:ascii="Times New Roman" w:hAnsi="Times New Roman" w:cs="Times New Roman"/>
          <w:sz w:val="24"/>
          <w:szCs w:val="24"/>
        </w:rPr>
        <w:t xml:space="preserve">töö ja pereelu ühitamise </w:t>
      </w:r>
      <w:r w:rsidR="00AB718F">
        <w:rPr>
          <w:rFonts w:ascii="Times New Roman" w:hAnsi="Times New Roman" w:cs="Times New Roman"/>
          <w:sz w:val="24"/>
          <w:szCs w:val="24"/>
        </w:rPr>
        <w:t xml:space="preserve">garantii </w:t>
      </w:r>
      <w:r w:rsidR="00002B94" w:rsidRPr="00002B94">
        <w:rPr>
          <w:rFonts w:ascii="Times New Roman" w:hAnsi="Times New Roman" w:cs="Times New Roman"/>
          <w:sz w:val="24"/>
          <w:szCs w:val="24"/>
        </w:rPr>
        <w:t>riigisekretär</w:t>
      </w:r>
      <w:r w:rsidR="00002B94">
        <w:rPr>
          <w:rFonts w:ascii="Times New Roman" w:hAnsi="Times New Roman" w:cs="Times New Roman"/>
          <w:sz w:val="24"/>
          <w:szCs w:val="24"/>
        </w:rPr>
        <w:t>ile</w:t>
      </w:r>
      <w:r w:rsidR="00002B94" w:rsidRPr="00002B94">
        <w:rPr>
          <w:rFonts w:ascii="Times New Roman" w:hAnsi="Times New Roman" w:cs="Times New Roman"/>
          <w:sz w:val="24"/>
          <w:szCs w:val="24"/>
        </w:rPr>
        <w:t>, ministeeriumi kantsler</w:t>
      </w:r>
      <w:r w:rsidR="00002B94">
        <w:rPr>
          <w:rFonts w:ascii="Times New Roman" w:hAnsi="Times New Roman" w:cs="Times New Roman"/>
          <w:sz w:val="24"/>
          <w:szCs w:val="24"/>
        </w:rPr>
        <w:t>ile</w:t>
      </w:r>
      <w:r w:rsidR="00002B94" w:rsidRPr="00002B94">
        <w:rPr>
          <w:rFonts w:ascii="Times New Roman" w:hAnsi="Times New Roman" w:cs="Times New Roman"/>
          <w:sz w:val="24"/>
          <w:szCs w:val="24"/>
        </w:rPr>
        <w:t>, asekantsler</w:t>
      </w:r>
      <w:r w:rsidR="00002B94">
        <w:rPr>
          <w:rFonts w:ascii="Times New Roman" w:hAnsi="Times New Roman" w:cs="Times New Roman"/>
          <w:sz w:val="24"/>
          <w:szCs w:val="24"/>
        </w:rPr>
        <w:t>ile</w:t>
      </w:r>
      <w:r w:rsidR="00002B94" w:rsidRPr="00002B94">
        <w:rPr>
          <w:rFonts w:ascii="Times New Roman" w:hAnsi="Times New Roman" w:cs="Times New Roman"/>
          <w:sz w:val="24"/>
          <w:szCs w:val="24"/>
        </w:rPr>
        <w:t>, Riigikantselei direktor</w:t>
      </w:r>
      <w:r w:rsidR="00002B94">
        <w:rPr>
          <w:rFonts w:ascii="Times New Roman" w:hAnsi="Times New Roman" w:cs="Times New Roman"/>
          <w:sz w:val="24"/>
          <w:szCs w:val="24"/>
        </w:rPr>
        <w:t>ile ja</w:t>
      </w:r>
      <w:r w:rsidR="00002B94" w:rsidRPr="00002B94">
        <w:rPr>
          <w:rFonts w:ascii="Times New Roman" w:hAnsi="Times New Roman" w:cs="Times New Roman"/>
          <w:sz w:val="24"/>
          <w:szCs w:val="24"/>
        </w:rPr>
        <w:t xml:space="preserve"> valitsusasutuse juh</w:t>
      </w:r>
      <w:r w:rsidR="00B570B0">
        <w:rPr>
          <w:rFonts w:ascii="Times New Roman" w:hAnsi="Times New Roman" w:cs="Times New Roman"/>
          <w:sz w:val="24"/>
          <w:szCs w:val="24"/>
        </w:rPr>
        <w:t xml:space="preserve">ile. </w:t>
      </w:r>
    </w:p>
    <w:p w14:paraId="07F833BF" w14:textId="77777777" w:rsidR="00250161" w:rsidRPr="00DB1F57" w:rsidRDefault="00250161" w:rsidP="00DB1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E7DA2" w14:textId="60B64A80" w:rsidR="00250161" w:rsidRPr="00DB1F57" w:rsidRDefault="00250161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>Lugupidamisega</w:t>
      </w:r>
    </w:p>
    <w:p w14:paraId="71D41015" w14:textId="7F29E138" w:rsidR="00250161" w:rsidRPr="00DB1F57" w:rsidRDefault="00250161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>Reet Laja</w:t>
      </w:r>
    </w:p>
    <w:p w14:paraId="42E89092" w14:textId="4F79EC12" w:rsidR="00250161" w:rsidRPr="00DB1F57" w:rsidRDefault="00DB1F57" w:rsidP="00DB1F57">
      <w:pPr>
        <w:jc w:val="both"/>
        <w:rPr>
          <w:rFonts w:ascii="Times New Roman" w:hAnsi="Times New Roman" w:cs="Times New Roman"/>
          <w:sz w:val="24"/>
          <w:szCs w:val="24"/>
        </w:rPr>
      </w:pPr>
      <w:r w:rsidRPr="00DB1F57">
        <w:rPr>
          <w:rFonts w:ascii="Times New Roman" w:hAnsi="Times New Roman" w:cs="Times New Roman"/>
          <w:sz w:val="24"/>
          <w:szCs w:val="24"/>
        </w:rPr>
        <w:t xml:space="preserve">MTÜ </w:t>
      </w:r>
      <w:r w:rsidR="00250161" w:rsidRPr="00DB1F57">
        <w:rPr>
          <w:rFonts w:ascii="Times New Roman" w:hAnsi="Times New Roman" w:cs="Times New Roman"/>
          <w:sz w:val="24"/>
          <w:szCs w:val="24"/>
        </w:rPr>
        <w:t>Eesti Naisuurimus</w:t>
      </w:r>
      <w:r w:rsidR="00FB2956" w:rsidRPr="00DB1F57">
        <w:rPr>
          <w:rFonts w:ascii="Times New Roman" w:hAnsi="Times New Roman" w:cs="Times New Roman"/>
          <w:sz w:val="24"/>
          <w:szCs w:val="24"/>
        </w:rPr>
        <w:t xml:space="preserve">- </w:t>
      </w:r>
      <w:r w:rsidR="00250161" w:rsidRPr="00DB1F57">
        <w:rPr>
          <w:rFonts w:ascii="Times New Roman" w:hAnsi="Times New Roman" w:cs="Times New Roman"/>
          <w:sz w:val="24"/>
          <w:szCs w:val="24"/>
        </w:rPr>
        <w:t>ja Teabekeskus</w:t>
      </w:r>
      <w:r w:rsidR="00FB2956" w:rsidRPr="00DB1F57">
        <w:rPr>
          <w:rFonts w:ascii="Times New Roman" w:hAnsi="Times New Roman" w:cs="Times New Roman"/>
          <w:sz w:val="24"/>
          <w:szCs w:val="24"/>
        </w:rPr>
        <w:t xml:space="preserve"> </w:t>
      </w:r>
      <w:r w:rsidRPr="00DB1F57">
        <w:rPr>
          <w:rFonts w:ascii="Times New Roman" w:hAnsi="Times New Roman" w:cs="Times New Roman"/>
          <w:sz w:val="24"/>
          <w:szCs w:val="24"/>
        </w:rPr>
        <w:t>esinaine</w:t>
      </w:r>
    </w:p>
    <w:sectPr w:rsidR="00250161" w:rsidRPr="00DB1F57" w:rsidSect="00031F1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7C1F" w14:textId="77777777" w:rsidR="00046829" w:rsidRDefault="00046829" w:rsidP="003B1A73">
      <w:pPr>
        <w:spacing w:after="0" w:line="240" w:lineRule="auto"/>
      </w:pPr>
      <w:r>
        <w:separator/>
      </w:r>
    </w:p>
  </w:endnote>
  <w:endnote w:type="continuationSeparator" w:id="0">
    <w:p w14:paraId="6E506C15" w14:textId="77777777" w:rsidR="00046829" w:rsidRDefault="00046829" w:rsidP="003B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813084"/>
      <w:docPartObj>
        <w:docPartGallery w:val="Page Numbers (Bottom of Page)"/>
        <w:docPartUnique/>
      </w:docPartObj>
    </w:sdtPr>
    <w:sdtContent>
      <w:p w14:paraId="3946302D" w14:textId="720919B8" w:rsidR="004703EA" w:rsidRDefault="004703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98D2F" w14:textId="77777777" w:rsidR="004703EA" w:rsidRDefault="0047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2B8C" w14:textId="77777777" w:rsidR="00046829" w:rsidRDefault="00046829" w:rsidP="003B1A73">
      <w:pPr>
        <w:spacing w:after="0" w:line="240" w:lineRule="auto"/>
      </w:pPr>
      <w:r>
        <w:separator/>
      </w:r>
    </w:p>
  </w:footnote>
  <w:footnote w:type="continuationSeparator" w:id="0">
    <w:p w14:paraId="5E286678" w14:textId="77777777" w:rsidR="00046829" w:rsidRDefault="00046829" w:rsidP="003B1A73">
      <w:pPr>
        <w:spacing w:after="0" w:line="240" w:lineRule="auto"/>
      </w:pPr>
      <w:r>
        <w:continuationSeparator/>
      </w:r>
    </w:p>
  </w:footnote>
  <w:footnote w:id="1">
    <w:p w14:paraId="0FB25404" w14:textId="720B8538" w:rsidR="003B1A73" w:rsidRPr="00E91C8D" w:rsidRDefault="003B1A73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="00500378" w:rsidRPr="00E91C8D">
        <w:rPr>
          <w:rFonts w:ascii="Times New Roman" w:hAnsi="Times New Roman" w:cs="Times New Roman"/>
        </w:rPr>
        <w:t>Sepper, M.-L (2024), Soolise võrdõiguslikkuse seaduse ja võrdse kohtlemise seaduse rakendamine. Kohtute ja võrdõigusvoliniku praktika analüüs</w:t>
      </w:r>
      <w:r w:rsidR="00142C09" w:rsidRPr="00E91C8D">
        <w:rPr>
          <w:rFonts w:ascii="Times New Roman" w:hAnsi="Times New Roman" w:cs="Times New Roman"/>
        </w:rPr>
        <w:t>. Veebis kättesaadav</w:t>
      </w:r>
      <w:r w:rsidR="00500378" w:rsidRPr="00E91C8D">
        <w:rPr>
          <w:rFonts w:ascii="Times New Roman" w:hAnsi="Times New Roman" w:cs="Times New Roman"/>
        </w:rPr>
        <w:t xml:space="preserve">: </w:t>
      </w:r>
      <w:hyperlink r:id="rId1" w:history="1">
        <w:r w:rsidR="00142C09" w:rsidRPr="00E91C8D">
          <w:rPr>
            <w:rStyle w:val="Hyperlink"/>
            <w:rFonts w:ascii="Times New Roman" w:hAnsi="Times New Roman" w:cs="Times New Roman"/>
          </w:rPr>
          <w:t>https://www.praxis.ee/uploads/2025/01/SoVS%20ja%20V%C3%B5rdKS%20rakendamise%20anal%C3%BC%C3%BCs.pdf</w:t>
        </w:r>
      </w:hyperlink>
      <w:r w:rsidR="00500378" w:rsidRPr="00E91C8D">
        <w:rPr>
          <w:rFonts w:ascii="Times New Roman" w:hAnsi="Times New Roman" w:cs="Times New Roman"/>
        </w:rPr>
        <w:t>.</w:t>
      </w:r>
    </w:p>
  </w:footnote>
  <w:footnote w:id="2">
    <w:p w14:paraId="316555DE" w14:textId="74404975" w:rsidR="005C5F5F" w:rsidRPr="00E91C8D" w:rsidRDefault="005C5F5F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="00CF2A87" w:rsidRPr="00E91C8D">
        <w:rPr>
          <w:rFonts w:ascii="Times New Roman" w:hAnsi="Times New Roman" w:cs="Times New Roman"/>
        </w:rPr>
        <w:t>Näiteks v</w:t>
      </w:r>
      <w:r w:rsidRPr="00E91C8D">
        <w:rPr>
          <w:rFonts w:ascii="Times New Roman" w:hAnsi="Times New Roman" w:cs="Times New Roman"/>
        </w:rPr>
        <w:t>õrdse kohtlemise võrgusti</w:t>
      </w:r>
      <w:r w:rsidR="00CF2A87" w:rsidRPr="00E91C8D">
        <w:rPr>
          <w:rFonts w:ascii="Times New Roman" w:hAnsi="Times New Roman" w:cs="Times New Roman"/>
        </w:rPr>
        <w:t xml:space="preserve">ku 2021. </w:t>
      </w:r>
      <w:r w:rsidR="00CF2A87" w:rsidRPr="00E91C8D">
        <w:rPr>
          <w:rFonts w:ascii="Times New Roman" w:hAnsi="Times New Roman" w:cs="Times New Roman"/>
        </w:rPr>
        <w:t>aasta ü</w:t>
      </w:r>
      <w:r w:rsidRPr="00E91C8D">
        <w:rPr>
          <w:rFonts w:ascii="Times New Roman" w:hAnsi="Times New Roman" w:cs="Times New Roman"/>
        </w:rPr>
        <w:t>hisaruanne Eesti kolmanda üldise korralise ülevaatuse (UPR) jaoks</w:t>
      </w:r>
      <w:r w:rsidR="00CF2A87" w:rsidRPr="00E91C8D">
        <w:rPr>
          <w:rFonts w:ascii="Times New Roman" w:hAnsi="Times New Roman" w:cs="Times New Roman"/>
        </w:rPr>
        <w:t>. Veebis kättesaadav:</w:t>
      </w:r>
      <w:r w:rsidRPr="00E91C8D">
        <w:rPr>
          <w:rFonts w:ascii="Times New Roman" w:hAnsi="Times New Roman" w:cs="Times New Roman"/>
        </w:rPr>
        <w:t xml:space="preserve"> </w:t>
      </w:r>
      <w:hyperlink r:id="rId2" w:history="1">
        <w:r w:rsidR="00CF2A87" w:rsidRPr="00E91C8D">
          <w:rPr>
            <w:rStyle w:val="Hyperlink"/>
            <w:rFonts w:ascii="Times New Roman" w:hAnsi="Times New Roman" w:cs="Times New Roman"/>
          </w:rPr>
          <w:t>https://humanrights.ee/app/uploads/2020/12/UPR-EST-uus.pdf</w:t>
        </w:r>
      </w:hyperlink>
      <w:r w:rsidRPr="00E91C8D">
        <w:rPr>
          <w:rFonts w:ascii="Times New Roman" w:hAnsi="Times New Roman" w:cs="Times New Roman"/>
        </w:rPr>
        <w:t>.</w:t>
      </w:r>
    </w:p>
  </w:footnote>
  <w:footnote w:id="3">
    <w:p w14:paraId="2B9D7CEE" w14:textId="741273B0" w:rsidR="007D77A3" w:rsidRPr="00E91C8D" w:rsidRDefault="007D77A3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="00400793" w:rsidRPr="00E91C8D">
        <w:rPr>
          <w:rFonts w:ascii="Times New Roman" w:hAnsi="Times New Roman" w:cs="Times New Roman"/>
        </w:rPr>
        <w:t>Committee on the Elimination of Discrimination against Women (2024</w:t>
      </w:r>
      <w:r w:rsidR="00E06DAE" w:rsidRPr="00E91C8D">
        <w:rPr>
          <w:rFonts w:ascii="Times New Roman" w:hAnsi="Times New Roman" w:cs="Times New Roman"/>
        </w:rPr>
        <w:t xml:space="preserve">, </w:t>
      </w:r>
      <w:r w:rsidR="00400793" w:rsidRPr="00E91C8D">
        <w:rPr>
          <w:rFonts w:ascii="Times New Roman" w:hAnsi="Times New Roman" w:cs="Times New Roman"/>
        </w:rPr>
        <w:t>Concluding observations on the seventh periodic report</w:t>
      </w:r>
      <w:r w:rsidR="00E06DAE" w:rsidRPr="00E91C8D">
        <w:rPr>
          <w:rFonts w:ascii="Times New Roman" w:hAnsi="Times New Roman" w:cs="Times New Roman"/>
        </w:rPr>
        <w:t xml:space="preserve"> </w:t>
      </w:r>
      <w:r w:rsidR="00400793" w:rsidRPr="00E91C8D">
        <w:rPr>
          <w:rFonts w:ascii="Times New Roman" w:hAnsi="Times New Roman" w:cs="Times New Roman"/>
        </w:rPr>
        <w:t>of Estonia</w:t>
      </w:r>
      <w:r w:rsidR="00E06DAE" w:rsidRPr="00E91C8D">
        <w:rPr>
          <w:rFonts w:ascii="Times New Roman" w:hAnsi="Times New Roman" w:cs="Times New Roman"/>
        </w:rPr>
        <w:t xml:space="preserve">. Veebis kättesaadav: </w:t>
      </w:r>
      <w:hyperlink r:id="rId3" w:history="1">
        <w:r w:rsidR="003B27F8" w:rsidRPr="00E91C8D">
          <w:rPr>
            <w:rStyle w:val="Hyperlink"/>
            <w:rFonts w:ascii="Times New Roman" w:hAnsi="Times New Roman" w:cs="Times New Roman"/>
          </w:rPr>
          <w:t>https://docs.un.org/en/CEDAW/C/EST/CO/7</w:t>
        </w:r>
      </w:hyperlink>
      <w:r w:rsidR="003B27F8" w:rsidRPr="00E91C8D">
        <w:rPr>
          <w:rFonts w:ascii="Times New Roman" w:hAnsi="Times New Roman" w:cs="Times New Roman"/>
        </w:rPr>
        <w:t xml:space="preserve">.  </w:t>
      </w:r>
    </w:p>
  </w:footnote>
  <w:footnote w:id="4">
    <w:p w14:paraId="17AC3806" w14:textId="59E83F61" w:rsidR="006857D5" w:rsidRPr="00E91C8D" w:rsidRDefault="006857D5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Pr="00E91C8D">
        <w:rPr>
          <w:rFonts w:ascii="Times New Roman" w:hAnsi="Times New Roman" w:cs="Times New Roman"/>
        </w:rPr>
        <w:t xml:space="preserve">ECRI (2015) Report on Estonia (5th monitoring cycle), 16.06.2015. Veebis kättesaadav: </w:t>
      </w:r>
      <w:hyperlink r:id="rId4" w:history="1">
        <w:r w:rsidRPr="00E91C8D">
          <w:rPr>
            <w:rStyle w:val="Hyperlink"/>
            <w:rFonts w:ascii="Times New Roman" w:hAnsi="Times New Roman" w:cs="Times New Roman"/>
          </w:rPr>
          <w:t>https://rm.coe.int/fifth-report-on-estonia-estonian-translation-/16808b56f2</w:t>
        </w:r>
      </w:hyperlink>
      <w:r w:rsidRPr="00E91C8D">
        <w:rPr>
          <w:rFonts w:ascii="Times New Roman" w:hAnsi="Times New Roman" w:cs="Times New Roman"/>
        </w:rPr>
        <w:t>.</w:t>
      </w:r>
    </w:p>
  </w:footnote>
  <w:footnote w:id="5">
    <w:p w14:paraId="0973CD76" w14:textId="0CADEC04" w:rsidR="00092853" w:rsidRPr="00E91C8D" w:rsidRDefault="00092853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="000F133C" w:rsidRPr="00E91C8D">
        <w:rPr>
          <w:rFonts w:ascii="Times New Roman" w:hAnsi="Times New Roman" w:cs="Times New Roman"/>
        </w:rPr>
        <w:t xml:space="preserve">Euroopa </w:t>
      </w:r>
      <w:r w:rsidR="000F133C" w:rsidRPr="00E91C8D">
        <w:rPr>
          <w:rFonts w:ascii="Times New Roman" w:hAnsi="Times New Roman" w:cs="Times New Roman"/>
        </w:rPr>
        <w:t xml:space="preserve">Nõukogu inimõiguste voliniku </w:t>
      </w:r>
      <w:r w:rsidR="00753F8A" w:rsidRPr="00E91C8D">
        <w:rPr>
          <w:rFonts w:ascii="Times New Roman" w:hAnsi="Times New Roman" w:cs="Times New Roman"/>
        </w:rPr>
        <w:t xml:space="preserve">Dunja Mijatovići raport </w:t>
      </w:r>
      <w:r w:rsidR="000F133C" w:rsidRPr="00E91C8D">
        <w:rPr>
          <w:rFonts w:ascii="Times New Roman" w:hAnsi="Times New Roman" w:cs="Times New Roman"/>
        </w:rPr>
        <w:t xml:space="preserve">11.–15. </w:t>
      </w:r>
      <w:r w:rsidR="001727ED" w:rsidRPr="00E91C8D">
        <w:rPr>
          <w:rFonts w:ascii="Times New Roman" w:hAnsi="Times New Roman" w:cs="Times New Roman"/>
        </w:rPr>
        <w:t>juunini</w:t>
      </w:r>
      <w:r w:rsidR="000F133C" w:rsidRPr="00E91C8D">
        <w:rPr>
          <w:rFonts w:ascii="Times New Roman" w:hAnsi="Times New Roman" w:cs="Times New Roman"/>
        </w:rPr>
        <w:t xml:space="preserve"> 2018</w:t>
      </w:r>
      <w:r w:rsidR="001727ED" w:rsidRPr="00E91C8D">
        <w:rPr>
          <w:rFonts w:ascii="Times New Roman" w:hAnsi="Times New Roman" w:cs="Times New Roman"/>
        </w:rPr>
        <w:t xml:space="preserve"> toimunud Eesti visiidi kohta. Veebis kättesaadav:</w:t>
      </w:r>
      <w:r w:rsidRPr="00E91C8D">
        <w:rPr>
          <w:rFonts w:ascii="Times New Roman" w:hAnsi="Times New Roman" w:cs="Times New Roman"/>
        </w:rPr>
        <w:t xml:space="preserve"> </w:t>
      </w:r>
      <w:hyperlink r:id="rId5" w:history="1">
        <w:r w:rsidRPr="00E91C8D">
          <w:rPr>
            <w:rStyle w:val="Hyperlink"/>
            <w:rFonts w:ascii="Times New Roman" w:hAnsi="Times New Roman" w:cs="Times New Roman"/>
          </w:rPr>
          <w:t>https://rm.coe.int/euroopa-noukogu-inimoiguste-voliniku-dunja-mijatovici-raport-11-15-juu/16808de6a3</w:t>
        </w:r>
      </w:hyperlink>
      <w:r w:rsidRPr="00E91C8D">
        <w:rPr>
          <w:rFonts w:ascii="Times New Roman" w:hAnsi="Times New Roman" w:cs="Times New Roman"/>
        </w:rPr>
        <w:t xml:space="preserve">. </w:t>
      </w:r>
    </w:p>
  </w:footnote>
  <w:footnote w:id="6">
    <w:p w14:paraId="78C18A87" w14:textId="77777777" w:rsidR="00435DE2" w:rsidRPr="00E91C8D" w:rsidRDefault="00435DE2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Sepper, M.-L </w:t>
      </w:r>
      <w:r w:rsidRPr="00E91C8D">
        <w:rPr>
          <w:rFonts w:ascii="Times New Roman" w:hAnsi="Times New Roman" w:cs="Times New Roman"/>
        </w:rPr>
        <w:t xml:space="preserve">(2025), Country report. Transposition and implementation at national level of Council Directives 2000/43 and 2000/78. Estonia. European network of legal experts in gender equality and non-discrimination. Veebis kättesaadav: </w:t>
      </w:r>
      <w:hyperlink r:id="rId6" w:history="1">
        <w:r w:rsidRPr="00E91C8D">
          <w:rPr>
            <w:rStyle w:val="Hyperlink"/>
            <w:rFonts w:ascii="Times New Roman" w:hAnsi="Times New Roman" w:cs="Times New Roman"/>
          </w:rPr>
          <w:t>https://www.equalitylaw.eu/downloads/6396-estonia-country-report-non-discrimination-2025</w:t>
        </w:r>
      </w:hyperlink>
      <w:r w:rsidRPr="00E91C8D">
        <w:rPr>
          <w:rFonts w:ascii="Times New Roman" w:hAnsi="Times New Roman" w:cs="Times New Roman"/>
        </w:rPr>
        <w:t xml:space="preserve">. </w:t>
      </w:r>
    </w:p>
  </w:footnote>
  <w:footnote w:id="7">
    <w:p w14:paraId="166D0C06" w14:textId="7328D14B" w:rsidR="00C35D3C" w:rsidRPr="00E91C8D" w:rsidRDefault="0031222F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="00CB0510" w:rsidRPr="00E91C8D">
        <w:rPr>
          <w:rFonts w:ascii="Times New Roman" w:hAnsi="Times New Roman" w:cs="Times New Roman"/>
        </w:rPr>
        <w:t xml:space="preserve">Guerrero, </w:t>
      </w:r>
      <w:r w:rsidR="00CB0510" w:rsidRPr="00E91C8D">
        <w:rPr>
          <w:rFonts w:ascii="Times New Roman" w:hAnsi="Times New Roman" w:cs="Times New Roman"/>
        </w:rPr>
        <w:t>M. (</w:t>
      </w:r>
      <w:r w:rsidR="00756F01" w:rsidRPr="00E91C8D">
        <w:rPr>
          <w:rFonts w:ascii="Times New Roman" w:hAnsi="Times New Roman" w:cs="Times New Roman"/>
        </w:rPr>
        <w:t>2020).</w:t>
      </w:r>
      <w:r w:rsidR="00CB0510" w:rsidRPr="00E91C8D">
        <w:rPr>
          <w:rFonts w:ascii="Times New Roman" w:hAnsi="Times New Roman" w:cs="Times New Roman"/>
        </w:rPr>
        <w:t xml:space="preserve"> </w:t>
      </w:r>
      <w:r w:rsidRPr="00E91C8D">
        <w:rPr>
          <w:rFonts w:ascii="Times New Roman" w:hAnsi="Times New Roman" w:cs="Times New Roman"/>
        </w:rPr>
        <w:t>Strategic litigation in</w:t>
      </w:r>
      <w:r w:rsidR="00756F01" w:rsidRPr="00E91C8D">
        <w:rPr>
          <w:rFonts w:ascii="Times New Roman" w:hAnsi="Times New Roman" w:cs="Times New Roman"/>
        </w:rPr>
        <w:t xml:space="preserve"> </w:t>
      </w:r>
      <w:r w:rsidRPr="00E91C8D">
        <w:rPr>
          <w:rFonts w:ascii="Times New Roman" w:hAnsi="Times New Roman" w:cs="Times New Roman"/>
        </w:rPr>
        <w:t>EU gender equality law</w:t>
      </w:r>
      <w:r w:rsidR="00C35D3C" w:rsidRPr="00E91C8D">
        <w:rPr>
          <w:rFonts w:ascii="Times New Roman" w:hAnsi="Times New Roman" w:cs="Times New Roman"/>
        </w:rPr>
        <w:t xml:space="preserve">. </w:t>
      </w:r>
      <w:r w:rsidR="00756F01" w:rsidRPr="00E91C8D">
        <w:rPr>
          <w:rFonts w:ascii="Times New Roman" w:hAnsi="Times New Roman" w:cs="Times New Roman"/>
        </w:rPr>
        <w:t>E</w:t>
      </w:r>
      <w:r w:rsidR="00C35D3C" w:rsidRPr="00E91C8D">
        <w:rPr>
          <w:rFonts w:ascii="Times New Roman" w:hAnsi="Times New Roman" w:cs="Times New Roman"/>
        </w:rPr>
        <w:t>uropean network of legal experts in</w:t>
      </w:r>
    </w:p>
    <w:p w14:paraId="586F8DC3" w14:textId="49C2A421" w:rsidR="0031222F" w:rsidRPr="00E91C8D" w:rsidRDefault="00C35D3C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Fonts w:ascii="Times New Roman" w:hAnsi="Times New Roman" w:cs="Times New Roman"/>
        </w:rPr>
        <w:t>gender equality and non-discrimination</w:t>
      </w:r>
      <w:r w:rsidR="00756F01" w:rsidRPr="00E91C8D">
        <w:rPr>
          <w:rFonts w:ascii="Times New Roman" w:hAnsi="Times New Roman" w:cs="Times New Roman"/>
        </w:rPr>
        <w:t xml:space="preserve">, lk </w:t>
      </w:r>
      <w:r w:rsidR="00ED51E3" w:rsidRPr="00E91C8D">
        <w:rPr>
          <w:rFonts w:ascii="Times New Roman" w:hAnsi="Times New Roman" w:cs="Times New Roman"/>
        </w:rPr>
        <w:t>106</w:t>
      </w:r>
      <w:r w:rsidRPr="00E91C8D">
        <w:rPr>
          <w:rFonts w:ascii="Times New Roman" w:hAnsi="Times New Roman" w:cs="Times New Roman"/>
        </w:rPr>
        <w:t xml:space="preserve">. Kättesaadav veebis: </w:t>
      </w:r>
      <w:hyperlink r:id="rId7" w:history="1">
        <w:r w:rsidR="00756F01" w:rsidRPr="00E91C8D">
          <w:rPr>
            <w:rStyle w:val="Hyperlink"/>
            <w:rFonts w:ascii="Times New Roman" w:hAnsi="Times New Roman" w:cs="Times New Roman"/>
          </w:rPr>
          <w:t>https://www.equalitylaw.eu/downloads/5123-strategic-litigation-in-eu-gender-equality-law-pdf-1-19-mb</w:t>
        </w:r>
      </w:hyperlink>
      <w:r w:rsidR="00756F01" w:rsidRPr="00E91C8D">
        <w:rPr>
          <w:rFonts w:ascii="Times New Roman" w:hAnsi="Times New Roman" w:cs="Times New Roman"/>
        </w:rPr>
        <w:t xml:space="preserve">. </w:t>
      </w:r>
    </w:p>
  </w:footnote>
  <w:footnote w:id="8">
    <w:p w14:paraId="6C4F10C1" w14:textId="5405C682" w:rsidR="005034C6" w:rsidRPr="00E91C8D" w:rsidRDefault="005034C6" w:rsidP="00E91C8D">
      <w:pPr>
        <w:pStyle w:val="FootnoteText"/>
        <w:jc w:val="both"/>
        <w:rPr>
          <w:rFonts w:ascii="Times New Roman" w:hAnsi="Times New Roman" w:cs="Times New Roman"/>
        </w:rPr>
      </w:pPr>
      <w:r w:rsidRPr="00E91C8D">
        <w:rPr>
          <w:rStyle w:val="FootnoteReference"/>
          <w:rFonts w:ascii="Times New Roman" w:hAnsi="Times New Roman" w:cs="Times New Roman"/>
        </w:rPr>
        <w:footnoteRef/>
      </w:r>
      <w:r w:rsidRPr="00E91C8D">
        <w:rPr>
          <w:rFonts w:ascii="Times New Roman" w:hAnsi="Times New Roman" w:cs="Times New Roman"/>
        </w:rPr>
        <w:t xml:space="preserve"> </w:t>
      </w:r>
      <w:r w:rsidR="006D3BAF" w:rsidRPr="00E91C8D">
        <w:rPr>
          <w:rFonts w:ascii="Times New Roman" w:hAnsi="Times New Roman" w:cs="Times New Roman"/>
        </w:rPr>
        <w:t xml:space="preserve">Chopin, I. </w:t>
      </w:r>
      <w:r w:rsidR="006D3BAF" w:rsidRPr="00E91C8D">
        <w:rPr>
          <w:rFonts w:ascii="Times New Roman" w:hAnsi="Times New Roman" w:cs="Times New Roman"/>
        </w:rPr>
        <w:t xml:space="preserve">ja Germaine, C. (2024). </w:t>
      </w:r>
      <w:r w:rsidR="00D3144D" w:rsidRPr="00E91C8D">
        <w:rPr>
          <w:rFonts w:ascii="Times New Roman" w:hAnsi="Times New Roman" w:cs="Times New Roman"/>
        </w:rPr>
        <w:t xml:space="preserve">A comparative analysis of non-discrimination law in Europe 2024. </w:t>
      </w:r>
      <w:r w:rsidRPr="00E91C8D">
        <w:rPr>
          <w:rFonts w:ascii="Times New Roman" w:hAnsi="Times New Roman" w:cs="Times New Roman"/>
        </w:rPr>
        <w:t>European network of legal experts in</w:t>
      </w:r>
      <w:r w:rsidR="006D3BAF" w:rsidRPr="00E91C8D">
        <w:rPr>
          <w:rFonts w:ascii="Times New Roman" w:hAnsi="Times New Roman" w:cs="Times New Roman"/>
        </w:rPr>
        <w:t xml:space="preserve"> </w:t>
      </w:r>
      <w:r w:rsidRPr="00E91C8D">
        <w:rPr>
          <w:rFonts w:ascii="Times New Roman" w:hAnsi="Times New Roman" w:cs="Times New Roman"/>
        </w:rPr>
        <w:t>gender equality and non-discrimination, lk 10</w:t>
      </w:r>
      <w:r w:rsidR="00D3144D" w:rsidRPr="00E91C8D">
        <w:rPr>
          <w:rFonts w:ascii="Times New Roman" w:hAnsi="Times New Roman" w:cs="Times New Roman"/>
        </w:rPr>
        <w:t>3</w:t>
      </w:r>
      <w:r w:rsidRPr="00E91C8D">
        <w:rPr>
          <w:rFonts w:ascii="Times New Roman" w:hAnsi="Times New Roman" w:cs="Times New Roman"/>
        </w:rPr>
        <w:t xml:space="preserve">. Kättesaadav veebis: </w:t>
      </w:r>
      <w:hyperlink r:id="rId8" w:history="1">
        <w:r w:rsidRPr="00E91C8D">
          <w:rPr>
            <w:rStyle w:val="Hyperlink"/>
            <w:rFonts w:ascii="Times New Roman" w:hAnsi="Times New Roman" w:cs="Times New Roman"/>
          </w:rPr>
          <w:t>https://www.equalitylaw.eu/downloads/6276-a-comparative-analysis-of-non-discrimination-law-in-europe-2024</w:t>
        </w:r>
      </w:hyperlink>
      <w:r w:rsidRPr="00E91C8D">
        <w:rPr>
          <w:rFonts w:ascii="Times New Roman" w:hAnsi="Times New Roman" w:cs="Times New Roman"/>
        </w:rPr>
        <w:t xml:space="preserve">. </w:t>
      </w:r>
    </w:p>
  </w:footnote>
  <w:footnote w:id="9">
    <w:p w14:paraId="4308442B" w14:textId="72131872" w:rsidR="00B62B15" w:rsidRPr="00F3276C" w:rsidRDefault="001B0662" w:rsidP="00F3276C">
      <w:pPr>
        <w:pStyle w:val="FootnoteText"/>
        <w:jc w:val="both"/>
        <w:rPr>
          <w:rFonts w:ascii="Times New Roman" w:hAnsi="Times New Roman" w:cs="Times New Roman"/>
        </w:rPr>
      </w:pPr>
      <w:r w:rsidRPr="00F3276C">
        <w:rPr>
          <w:rStyle w:val="FootnoteReference"/>
          <w:rFonts w:ascii="Times New Roman" w:hAnsi="Times New Roman" w:cs="Times New Roman"/>
        </w:rPr>
        <w:footnoteRef/>
      </w:r>
      <w:r w:rsidRPr="00F3276C">
        <w:rPr>
          <w:rFonts w:ascii="Times New Roman" w:hAnsi="Times New Roman" w:cs="Times New Roman"/>
        </w:rPr>
        <w:t xml:space="preserve"> </w:t>
      </w:r>
      <w:r w:rsidR="00E51FB0" w:rsidRPr="00F3276C">
        <w:rPr>
          <w:rFonts w:ascii="Times New Roman" w:hAnsi="Times New Roman" w:cs="Times New Roman"/>
        </w:rPr>
        <w:t xml:space="preserve">Equality Law in Practice Working Group (2022). </w:t>
      </w:r>
      <w:r w:rsidR="00B62B15" w:rsidRPr="00F3276C">
        <w:rPr>
          <w:rFonts w:ascii="Times New Roman" w:hAnsi="Times New Roman" w:cs="Times New Roman"/>
        </w:rPr>
        <w:t>Equality Bodies working on cases without an identifiable</w:t>
      </w:r>
    </w:p>
    <w:p w14:paraId="585BC33E" w14:textId="64263CBB" w:rsidR="001B0662" w:rsidRPr="00F3276C" w:rsidRDefault="00B62B15" w:rsidP="00F3276C">
      <w:pPr>
        <w:pStyle w:val="FootnoteText"/>
        <w:jc w:val="both"/>
        <w:rPr>
          <w:rFonts w:ascii="Times New Roman" w:hAnsi="Times New Roman" w:cs="Times New Roman"/>
        </w:rPr>
      </w:pPr>
      <w:r w:rsidRPr="00F3276C">
        <w:rPr>
          <w:rFonts w:ascii="Times New Roman" w:hAnsi="Times New Roman" w:cs="Times New Roman"/>
        </w:rPr>
        <w:t>victim: Actio popularis. E</w:t>
      </w:r>
      <w:r w:rsidR="00F3276C" w:rsidRPr="00F3276C">
        <w:rPr>
          <w:rFonts w:ascii="Times New Roman" w:hAnsi="Times New Roman" w:cs="Times New Roman"/>
        </w:rPr>
        <w:t>quinet</w:t>
      </w:r>
      <w:r w:rsidRPr="00F3276C">
        <w:rPr>
          <w:rFonts w:ascii="Times New Roman" w:hAnsi="Times New Roman" w:cs="Times New Roman"/>
        </w:rPr>
        <w:t xml:space="preserve">. </w:t>
      </w:r>
      <w:r w:rsidR="00F3276C" w:rsidRPr="00F3276C">
        <w:rPr>
          <w:rFonts w:ascii="Times New Roman" w:hAnsi="Times New Roman" w:cs="Times New Roman"/>
        </w:rPr>
        <w:t xml:space="preserve">Kättesaadav veebis: </w:t>
      </w:r>
      <w:hyperlink r:id="rId9" w:history="1">
        <w:r w:rsidRPr="00F3276C">
          <w:rPr>
            <w:rStyle w:val="Hyperlink"/>
            <w:rFonts w:ascii="Times New Roman" w:hAnsi="Times New Roman" w:cs="Times New Roman"/>
          </w:rPr>
          <w:t>https://equineteurope.org/wp-content/uploads/2023/04/Action-Popularis-Discussion-Paper_Final.pdf</w:t>
        </w:r>
      </w:hyperlink>
      <w:r w:rsidR="001B0662" w:rsidRPr="00F3276C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78"/>
    <w:rsid w:val="000027C2"/>
    <w:rsid w:val="00002B94"/>
    <w:rsid w:val="000040D0"/>
    <w:rsid w:val="000063A7"/>
    <w:rsid w:val="0001545E"/>
    <w:rsid w:val="00016913"/>
    <w:rsid w:val="00031F10"/>
    <w:rsid w:val="000334A4"/>
    <w:rsid w:val="000347D2"/>
    <w:rsid w:val="00041794"/>
    <w:rsid w:val="00046829"/>
    <w:rsid w:val="00055EBE"/>
    <w:rsid w:val="000616A9"/>
    <w:rsid w:val="00067349"/>
    <w:rsid w:val="00077DCF"/>
    <w:rsid w:val="00092853"/>
    <w:rsid w:val="0009464B"/>
    <w:rsid w:val="000B082E"/>
    <w:rsid w:val="000C5BB8"/>
    <w:rsid w:val="000D0611"/>
    <w:rsid w:val="000D6CA8"/>
    <w:rsid w:val="000F133C"/>
    <w:rsid w:val="000F15AD"/>
    <w:rsid w:val="000F6F6B"/>
    <w:rsid w:val="000F70E1"/>
    <w:rsid w:val="000F7C1B"/>
    <w:rsid w:val="00100600"/>
    <w:rsid w:val="00100E53"/>
    <w:rsid w:val="00101076"/>
    <w:rsid w:val="00103484"/>
    <w:rsid w:val="00111777"/>
    <w:rsid w:val="00114DD4"/>
    <w:rsid w:val="00123BB2"/>
    <w:rsid w:val="00141B4B"/>
    <w:rsid w:val="00142C09"/>
    <w:rsid w:val="001520E1"/>
    <w:rsid w:val="00153953"/>
    <w:rsid w:val="001540BD"/>
    <w:rsid w:val="001550E4"/>
    <w:rsid w:val="00167228"/>
    <w:rsid w:val="001727ED"/>
    <w:rsid w:val="00187FC9"/>
    <w:rsid w:val="00196CE1"/>
    <w:rsid w:val="001A63BE"/>
    <w:rsid w:val="001B0662"/>
    <w:rsid w:val="001B1BA2"/>
    <w:rsid w:val="001B2FB2"/>
    <w:rsid w:val="001B5C58"/>
    <w:rsid w:val="001C4846"/>
    <w:rsid w:val="001D2404"/>
    <w:rsid w:val="001D4436"/>
    <w:rsid w:val="001F14AA"/>
    <w:rsid w:val="002040CE"/>
    <w:rsid w:val="00207489"/>
    <w:rsid w:val="00207983"/>
    <w:rsid w:val="00237023"/>
    <w:rsid w:val="00241780"/>
    <w:rsid w:val="00250161"/>
    <w:rsid w:val="002508DB"/>
    <w:rsid w:val="002623D7"/>
    <w:rsid w:val="0026266F"/>
    <w:rsid w:val="00263D9F"/>
    <w:rsid w:val="00267C1B"/>
    <w:rsid w:val="002711BB"/>
    <w:rsid w:val="002807FC"/>
    <w:rsid w:val="002A4DD1"/>
    <w:rsid w:val="002B08C4"/>
    <w:rsid w:val="002B5E16"/>
    <w:rsid w:val="002C52AC"/>
    <w:rsid w:val="002C64D9"/>
    <w:rsid w:val="002D253B"/>
    <w:rsid w:val="002D452B"/>
    <w:rsid w:val="002F275C"/>
    <w:rsid w:val="0031222F"/>
    <w:rsid w:val="00315C42"/>
    <w:rsid w:val="00317019"/>
    <w:rsid w:val="003352AC"/>
    <w:rsid w:val="00344A09"/>
    <w:rsid w:val="00357D45"/>
    <w:rsid w:val="00360B9D"/>
    <w:rsid w:val="00393C69"/>
    <w:rsid w:val="003B1A73"/>
    <w:rsid w:val="003B27F8"/>
    <w:rsid w:val="003B5471"/>
    <w:rsid w:val="003D2B96"/>
    <w:rsid w:val="003D3102"/>
    <w:rsid w:val="003D52EB"/>
    <w:rsid w:val="003E4FC4"/>
    <w:rsid w:val="00400793"/>
    <w:rsid w:val="00400F28"/>
    <w:rsid w:val="00402009"/>
    <w:rsid w:val="00410E5F"/>
    <w:rsid w:val="0043401C"/>
    <w:rsid w:val="004341B3"/>
    <w:rsid w:val="00435DE2"/>
    <w:rsid w:val="00436EF4"/>
    <w:rsid w:val="00446442"/>
    <w:rsid w:val="00450E72"/>
    <w:rsid w:val="00460EB7"/>
    <w:rsid w:val="00465EBF"/>
    <w:rsid w:val="004703EA"/>
    <w:rsid w:val="00475F25"/>
    <w:rsid w:val="00497DF3"/>
    <w:rsid w:val="004B6BF7"/>
    <w:rsid w:val="004C1D81"/>
    <w:rsid w:val="004C2F22"/>
    <w:rsid w:val="004E6446"/>
    <w:rsid w:val="004F515C"/>
    <w:rsid w:val="004F5422"/>
    <w:rsid w:val="004F6C23"/>
    <w:rsid w:val="004F719F"/>
    <w:rsid w:val="00500378"/>
    <w:rsid w:val="005034C6"/>
    <w:rsid w:val="00504751"/>
    <w:rsid w:val="005056AE"/>
    <w:rsid w:val="00507674"/>
    <w:rsid w:val="005207F8"/>
    <w:rsid w:val="00522C34"/>
    <w:rsid w:val="00531303"/>
    <w:rsid w:val="0057005E"/>
    <w:rsid w:val="005778AF"/>
    <w:rsid w:val="00582875"/>
    <w:rsid w:val="005957C3"/>
    <w:rsid w:val="005A2252"/>
    <w:rsid w:val="005C5F5F"/>
    <w:rsid w:val="005D56C0"/>
    <w:rsid w:val="005E62A0"/>
    <w:rsid w:val="00613E0C"/>
    <w:rsid w:val="0063090C"/>
    <w:rsid w:val="00635858"/>
    <w:rsid w:val="00653F54"/>
    <w:rsid w:val="00680278"/>
    <w:rsid w:val="00681514"/>
    <w:rsid w:val="00685786"/>
    <w:rsid w:val="006857D5"/>
    <w:rsid w:val="006930E2"/>
    <w:rsid w:val="00694A0E"/>
    <w:rsid w:val="006A0697"/>
    <w:rsid w:val="006A3829"/>
    <w:rsid w:val="006B596E"/>
    <w:rsid w:val="006D3BAF"/>
    <w:rsid w:val="006E0F82"/>
    <w:rsid w:val="00705514"/>
    <w:rsid w:val="00706489"/>
    <w:rsid w:val="007301A7"/>
    <w:rsid w:val="007368D1"/>
    <w:rsid w:val="007431EA"/>
    <w:rsid w:val="00753F8A"/>
    <w:rsid w:val="00756F01"/>
    <w:rsid w:val="00775795"/>
    <w:rsid w:val="007866E0"/>
    <w:rsid w:val="00790208"/>
    <w:rsid w:val="007928A6"/>
    <w:rsid w:val="007A362E"/>
    <w:rsid w:val="007A5E70"/>
    <w:rsid w:val="007B6409"/>
    <w:rsid w:val="007C7047"/>
    <w:rsid w:val="007C74EE"/>
    <w:rsid w:val="007D77A3"/>
    <w:rsid w:val="007E2040"/>
    <w:rsid w:val="007E28D8"/>
    <w:rsid w:val="007F7119"/>
    <w:rsid w:val="0080677E"/>
    <w:rsid w:val="0081137D"/>
    <w:rsid w:val="0081392A"/>
    <w:rsid w:val="00831A12"/>
    <w:rsid w:val="00842476"/>
    <w:rsid w:val="00847FD4"/>
    <w:rsid w:val="00863ABD"/>
    <w:rsid w:val="00894BDF"/>
    <w:rsid w:val="008B1CFC"/>
    <w:rsid w:val="008B6CD6"/>
    <w:rsid w:val="008C2AFB"/>
    <w:rsid w:val="008E4AB0"/>
    <w:rsid w:val="008F05F0"/>
    <w:rsid w:val="008F0DF2"/>
    <w:rsid w:val="0090626D"/>
    <w:rsid w:val="00913986"/>
    <w:rsid w:val="00923C7D"/>
    <w:rsid w:val="00925E8C"/>
    <w:rsid w:val="0093416B"/>
    <w:rsid w:val="00940C66"/>
    <w:rsid w:val="0094412E"/>
    <w:rsid w:val="00951DF7"/>
    <w:rsid w:val="00984607"/>
    <w:rsid w:val="009865DC"/>
    <w:rsid w:val="00994767"/>
    <w:rsid w:val="009A4164"/>
    <w:rsid w:val="009B2A3C"/>
    <w:rsid w:val="009C324C"/>
    <w:rsid w:val="009C3C24"/>
    <w:rsid w:val="009F1A4E"/>
    <w:rsid w:val="00A014DE"/>
    <w:rsid w:val="00A014FB"/>
    <w:rsid w:val="00A05D5D"/>
    <w:rsid w:val="00A061DA"/>
    <w:rsid w:val="00A1595B"/>
    <w:rsid w:val="00A26A61"/>
    <w:rsid w:val="00A370A3"/>
    <w:rsid w:val="00A412D8"/>
    <w:rsid w:val="00A62493"/>
    <w:rsid w:val="00A81595"/>
    <w:rsid w:val="00AB718F"/>
    <w:rsid w:val="00AD7BDD"/>
    <w:rsid w:val="00AE032D"/>
    <w:rsid w:val="00AE778A"/>
    <w:rsid w:val="00AF1E17"/>
    <w:rsid w:val="00B008F5"/>
    <w:rsid w:val="00B04D54"/>
    <w:rsid w:val="00B25798"/>
    <w:rsid w:val="00B26139"/>
    <w:rsid w:val="00B5560A"/>
    <w:rsid w:val="00B570B0"/>
    <w:rsid w:val="00B606AB"/>
    <w:rsid w:val="00B62B15"/>
    <w:rsid w:val="00B71604"/>
    <w:rsid w:val="00B74475"/>
    <w:rsid w:val="00B82DD1"/>
    <w:rsid w:val="00B85313"/>
    <w:rsid w:val="00B9139A"/>
    <w:rsid w:val="00B9347A"/>
    <w:rsid w:val="00BA200B"/>
    <w:rsid w:val="00BE212E"/>
    <w:rsid w:val="00C02B25"/>
    <w:rsid w:val="00C10F0C"/>
    <w:rsid w:val="00C20F4C"/>
    <w:rsid w:val="00C279B5"/>
    <w:rsid w:val="00C35D3C"/>
    <w:rsid w:val="00C46F32"/>
    <w:rsid w:val="00C54179"/>
    <w:rsid w:val="00C549B4"/>
    <w:rsid w:val="00C5783D"/>
    <w:rsid w:val="00C622F7"/>
    <w:rsid w:val="00C64EC1"/>
    <w:rsid w:val="00C8694C"/>
    <w:rsid w:val="00C923D1"/>
    <w:rsid w:val="00C94827"/>
    <w:rsid w:val="00CA001D"/>
    <w:rsid w:val="00CB0510"/>
    <w:rsid w:val="00CC2EF3"/>
    <w:rsid w:val="00CE05B2"/>
    <w:rsid w:val="00CE3871"/>
    <w:rsid w:val="00CF2A87"/>
    <w:rsid w:val="00D0030F"/>
    <w:rsid w:val="00D01788"/>
    <w:rsid w:val="00D0308E"/>
    <w:rsid w:val="00D0572D"/>
    <w:rsid w:val="00D147C4"/>
    <w:rsid w:val="00D271D0"/>
    <w:rsid w:val="00D3144D"/>
    <w:rsid w:val="00D34C68"/>
    <w:rsid w:val="00D37150"/>
    <w:rsid w:val="00D44166"/>
    <w:rsid w:val="00D478CB"/>
    <w:rsid w:val="00D770C0"/>
    <w:rsid w:val="00D95BF4"/>
    <w:rsid w:val="00DA0EE8"/>
    <w:rsid w:val="00DB1F57"/>
    <w:rsid w:val="00DB1FB5"/>
    <w:rsid w:val="00DD66B2"/>
    <w:rsid w:val="00E00C5D"/>
    <w:rsid w:val="00E06DAE"/>
    <w:rsid w:val="00E44B00"/>
    <w:rsid w:val="00E51FB0"/>
    <w:rsid w:val="00E57B02"/>
    <w:rsid w:val="00E7664D"/>
    <w:rsid w:val="00E86FAE"/>
    <w:rsid w:val="00E91C8D"/>
    <w:rsid w:val="00EA02FE"/>
    <w:rsid w:val="00EB0C19"/>
    <w:rsid w:val="00ED013D"/>
    <w:rsid w:val="00ED51E3"/>
    <w:rsid w:val="00EE0B37"/>
    <w:rsid w:val="00EE0BF5"/>
    <w:rsid w:val="00EF00CD"/>
    <w:rsid w:val="00EF5AA0"/>
    <w:rsid w:val="00F01B16"/>
    <w:rsid w:val="00F03A2C"/>
    <w:rsid w:val="00F14DF9"/>
    <w:rsid w:val="00F1505F"/>
    <w:rsid w:val="00F16C9D"/>
    <w:rsid w:val="00F3276C"/>
    <w:rsid w:val="00F37032"/>
    <w:rsid w:val="00F41056"/>
    <w:rsid w:val="00F4535B"/>
    <w:rsid w:val="00F6196D"/>
    <w:rsid w:val="00F80D0F"/>
    <w:rsid w:val="00F9319B"/>
    <w:rsid w:val="00FA72F5"/>
    <w:rsid w:val="00FB2956"/>
    <w:rsid w:val="00FB5ECA"/>
    <w:rsid w:val="00FB61CC"/>
    <w:rsid w:val="00FC334D"/>
    <w:rsid w:val="00FC5B9E"/>
    <w:rsid w:val="00FE13DB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0A98"/>
  <w15:chartTrackingRefBased/>
  <w15:docId w15:val="{3F73D170-AB27-47E6-81E4-BDC8AC94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27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3B1A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1A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A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69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85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EA"/>
  </w:style>
  <w:style w:type="paragraph" w:styleId="Footer">
    <w:name w:val="footer"/>
    <w:basedOn w:val="Normal"/>
    <w:link w:val="FooterChar"/>
    <w:uiPriority w:val="99"/>
    <w:unhideWhenUsed/>
    <w:rsid w:val="0047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law.eu/downloads/6276-a-comparative-analysis-of-non-discrimination-law-in-europe-2024" TargetMode="External"/><Relationship Id="rId3" Type="http://schemas.openxmlformats.org/officeDocument/2006/relationships/hyperlink" Target="https://docs.un.org/en/CEDAW/C/EST/CO/7" TargetMode="External"/><Relationship Id="rId7" Type="http://schemas.openxmlformats.org/officeDocument/2006/relationships/hyperlink" Target="https://www.equalitylaw.eu/downloads/5123-strategic-litigation-in-eu-gender-equality-law-pdf-1-19-mb" TargetMode="External"/><Relationship Id="rId2" Type="http://schemas.openxmlformats.org/officeDocument/2006/relationships/hyperlink" Target="https://humanrights.ee/app/uploads/2020/12/UPR-EST-uus.pdf" TargetMode="External"/><Relationship Id="rId1" Type="http://schemas.openxmlformats.org/officeDocument/2006/relationships/hyperlink" Target="https://www.praxis.ee/uploads/2025/01/SoVS%20ja%20V%C3%B5rdKS%20rakendamise%20anal%C3%BC%C3%BCs.pdf" TargetMode="External"/><Relationship Id="rId6" Type="http://schemas.openxmlformats.org/officeDocument/2006/relationships/hyperlink" Target="https://www.equalitylaw.eu/downloads/6396-estonia-country-report-non-discrimination-2025" TargetMode="External"/><Relationship Id="rId5" Type="http://schemas.openxmlformats.org/officeDocument/2006/relationships/hyperlink" Target="https://rm.coe.int/euroopa-noukogu-inimoiguste-voliniku-dunja-mijatovici-raport-11-15-juu/16808de6a3" TargetMode="External"/><Relationship Id="rId4" Type="http://schemas.openxmlformats.org/officeDocument/2006/relationships/hyperlink" Target="https://rm.coe.int/fifth-report-on-estonia-estonian-translation-/16808b56f2" TargetMode="External"/><Relationship Id="rId9" Type="http://schemas.openxmlformats.org/officeDocument/2006/relationships/hyperlink" Target="https://equineteurope.org/wp-content/uploads/2023/04/Action-Popularis-Discussion-Paper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661A-9E88-427E-8E39-244039D8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Sepper</dc:creator>
  <cp:keywords/>
  <dc:description/>
  <cp:lastModifiedBy>Enut Enut</cp:lastModifiedBy>
  <cp:revision>2</cp:revision>
  <dcterms:created xsi:type="dcterms:W3CDTF">2025-12-22T09:51:00Z</dcterms:created>
  <dcterms:modified xsi:type="dcterms:W3CDTF">2025-12-22T09:51:00Z</dcterms:modified>
</cp:coreProperties>
</file>